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keepNext/>
        <w:spacing w:before="0" w:after="40" w:line="259" w:lineRule="auto"/>
      </w:pPr>
      <w:r>
        <w:rPr>
          <w:b/>
          <w:sz w:val="40"/>
          <w:szCs w:val="40"/>
        </w:rPr>
        <w:t xml:space="preserve">Arbeitsanweisung KI-Nutzung</w:t>
      </w:r>
    </w:p>
    <w:p>
      <w:pPr>
        <w:spacing w:before="0" w:after="200" w:line="259" w:lineRule="auto"/>
      </w:pPr>
      <w:r>
        <w:rPr>
          <w:color w:val="555555"/>
          <w:sz w:val="26"/>
          <w:szCs w:val="26"/>
        </w:rPr>
        <w:t xml:space="preserve">Kanzleiregeln für die Arbeit mit ChatGPT &amp; Co.</w:t>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3000"/>
        <w:gridCol w:w="6600"/>
      </w:tblGrid>
      <w:tr>
        <w:trPr>
          <w:cantSplit/>
          <w:tblHeader/>
        </w:trPr>
        <w:tc>
          <w:tcPr>
            <w:tcW w:w="3000" w:type="dxa"/>
            <w:shd w:val="clear" w:color="auto" w:fill="DDE5EE"/>
          </w:tcPr>
          <w:p>
            <w:pPr>
              <w:spacing w:before="0" w:after="30" w:line="259" w:lineRule="auto"/>
            </w:pPr>
            <w:r>
              <w:rPr>
                <w:b/>
                <w:sz w:val="19"/>
                <w:szCs w:val="19"/>
              </w:rPr>
              <w:t xml:space="preserve">Angabe</w:t>
            </w:r>
          </w:p>
        </w:tc>
        <w:tc>
          <w:tcPr>
            <w:tcW w:w="6600" w:type="dxa"/>
            <w:shd w:val="clear" w:color="auto" w:fill="DDE5EE"/>
          </w:tcPr>
          <w:p>
            <w:pPr>
              <w:spacing w:before="0" w:after="30" w:line="259" w:lineRule="auto"/>
            </w:pPr>
            <w:r>
              <w:rPr>
                <w:b/>
                <w:sz w:val="19"/>
                <w:szCs w:val="19"/>
              </w:rPr>
              <w:t xml:space="preserve">Eintrag</w:t>
            </w:r>
          </w:p>
        </w:tc>
      </w:tr>
      <w:tr>
        <w:trPr>
          <w:cantSplit/>
          <w:trHeight w:val="380"/>
        </w:trPr>
        <w:tc>
          <w:tcPr>
            <w:tcW w:w="3000" w:type="dxa"/>
          </w:tcPr>
          <w:p>
            <w:pPr>
              <w:spacing w:before="0" w:after="30" w:line="259" w:lineRule="auto"/>
            </w:pPr>
            <w:r>
              <w:rPr>
                <w:sz w:val="19"/>
                <w:szCs w:val="19"/>
              </w:rPr>
              <w:t xml:space="preserve">Kanzlei</w:t>
            </w:r>
          </w:p>
        </w:tc>
        <w:tc>
          <w:tcPr>
            <w:tcW w:w="6600" w:type="dxa"/>
          </w:tcPr>
          <w:p>
            <w:pPr>
              <w:spacing w:before="0" w:after="30" w:line="259" w:lineRule="auto"/>
            </w:pPr>
            <w:r>
              <w:rPr>
                <w:sz w:val="19"/>
                <w:szCs w:val="19"/>
              </w:rPr>
              <w:t xml:space="preserve">[Name der Kanzlei]</w:t>
            </w:r>
          </w:p>
        </w:tc>
      </w:tr>
      <w:tr>
        <w:trPr>
          <w:cantSplit/>
          <w:trHeight w:val="380"/>
        </w:trPr>
        <w:tc>
          <w:tcPr>
            <w:tcW w:w="3000" w:type="dxa"/>
          </w:tcPr>
          <w:p>
            <w:pPr>
              <w:spacing w:before="0" w:after="30" w:line="259" w:lineRule="auto"/>
            </w:pPr>
            <w:r>
              <w:rPr>
                <w:sz w:val="19"/>
                <w:szCs w:val="19"/>
              </w:rPr>
              <w:t xml:space="preserve">Stand dieser Anweisung</w:t>
            </w:r>
          </w:p>
        </w:tc>
        <w:tc>
          <w:tcPr>
            <w:tcW w:w="6600" w:type="dxa"/>
          </w:tcPr>
          <w:p>
            <w:pPr>
              <w:spacing w:before="0" w:after="30" w:line="259" w:lineRule="auto"/>
            </w:pPr>
            <w:r>
              <w:rPr>
                <w:sz w:val="19"/>
                <w:szCs w:val="19"/>
              </w:rPr>
              <w:t xml:space="preserve">[Monat Jahr]</w:t>
            </w:r>
          </w:p>
        </w:tc>
      </w:tr>
      <w:tr>
        <w:trPr>
          <w:cantSplit/>
          <w:trHeight w:val="380"/>
        </w:trPr>
        <w:tc>
          <w:tcPr>
            <w:tcW w:w="3000" w:type="dxa"/>
          </w:tcPr>
          <w:p>
            <w:pPr>
              <w:spacing w:before="0" w:after="30" w:line="259" w:lineRule="auto"/>
            </w:pPr>
            <w:r>
              <w:rPr>
                <w:sz w:val="19"/>
                <w:szCs w:val="19"/>
              </w:rPr>
              <w:t xml:space="preserve">Verantwortlich</w:t>
            </w:r>
          </w:p>
        </w:tc>
        <w:tc>
          <w:tcPr>
            <w:tcW w:w="6600" w:type="dxa"/>
          </w:tcPr>
          <w:p>
            <w:pPr>
              <w:spacing w:before="0" w:after="30" w:line="259" w:lineRule="auto"/>
            </w:pPr>
            <w:r>
              <w:rPr>
                <w:sz w:val="19"/>
                <w:szCs w:val="19"/>
              </w:rPr>
              <w:t xml:space="preserve">[Name, Funktion]</w:t>
            </w:r>
          </w:p>
        </w:tc>
      </w:tr>
      <w:tr>
        <w:trPr>
          <w:cantSplit/>
          <w:trHeight w:val="380"/>
        </w:trPr>
        <w:tc>
          <w:tcPr>
            <w:tcW w:w="3000" w:type="dxa"/>
          </w:tcPr>
          <w:p>
            <w:pPr>
              <w:spacing w:before="0" w:after="30" w:line="259" w:lineRule="auto"/>
            </w:pPr>
            <w:r>
              <w:rPr>
                <w:sz w:val="19"/>
                <w:szCs w:val="19"/>
              </w:rPr>
              <w:t xml:space="preserve">Ausgegeben am</w:t>
            </w:r>
          </w:p>
        </w:tc>
        <w:tc>
          <w:tcPr>
            <w:tcW w:w="6600" w:type="dxa"/>
          </w:tcPr>
          <w:p>
            <w:pPr>
              <w:spacing w:before="0" w:after="30" w:line="259" w:lineRule="auto"/>
            </w:pPr>
            <w:r>
              <w:rPr>
                <w:sz w:val="19"/>
                <w:szCs w:val="19"/>
              </w:rPr>
              <w:t xml:space="preserve">[Datum]</w:t>
            </w:r>
          </w:p>
        </w:tc>
      </w:tr>
    </w:tbl>
    <w:p>
      <w:pPr>
        <w:spacing w:before="0" w:after="80" w:line="259" w:lineRule="auto"/>
      </w:pP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t xml:space="preserve">Arbeitsanweisung der Kanzleileitung zur Arbeit mit KI-Werkzeugen. Sie ist kein Vertragsbestandteil und ersetzt weder die Verpflichtung zur Verschwiegenheit nach § 43a Abs. 2 BRAO noch die Datenschutzunterweisung.</w:t>
      </w:r>
    </w:p>
    <w:p>
      <w:pPr>
        <w:spacing w:before="0" w:after="60" w:line="259" w:lineRule="auto"/>
      </w:pPr>
    </w:p>
    <w:p>
      <w:pPr>
        <w:spacing w:before="0" w:after="120" w:line="259" w:lineRule="auto"/>
      </w:pPr>
      <w:r>
        <w:rPr>
          <w:i/>
          <w:color w:val="555555"/>
          <w:sz w:val="17"/>
          <w:szCs w:val="17"/>
        </w:rPr>
        <w:t xml:space="preserve">Vorlage von ratg.de, Stand: Oktober 2026 (Rechtsstand 26.10.2026). Vorlage zur eigenen Anpassung, keine Rechtsberatung. Es gelten die Nutzungsbedingungen für Vorlagen (https://ratg.de/nutzungsbedingungen/). Erläuterung: https://ratg.de/ki-regeln-kanzlei/</w:t>
      </w:r>
    </w:p>
    <w:p>
      <w:pPr>
        <w:spacing w:before="0" w:after="120" w:line="259" w:lineRule="auto"/>
      </w:pPr>
      <w:r>
        <w:rPr>
          <w:i/>
          <w:color w:val="555555"/>
          <w:sz w:val="17"/>
          <w:szCs w:val="17"/>
        </w:rPr>
        <w:t xml:space="preserve">Ausfüllhinweis für die Kanzleileitung: Felder in eckigen Klammern ausfüllen, in Teil 6 je Punkt eine Variante ankreuzen und die übrigen löschen, das Beiblatt vor der Ausgabe entfernen.</w:t>
      </w:r>
    </w:p>
    <w:p>
      <w:pPr>
        <w:pStyle w:val="Heading1"/>
        <w:keepNext/>
        <w:spacing w:before="0" w:after="80" w:line="259" w:lineRule="auto"/>
      </w:pPr>
      <w:r>
        <w:rPr>
          <w:b/>
          <w:sz w:val="30"/>
          <w:szCs w:val="30"/>
        </w:rPr>
        <w:t xml:space="preserve">1  Geltung</w:t>
      </w:r>
    </w:p>
    <w:p>
      <w:pPr>
        <w:spacing w:before="0" w:after="120" w:line="259" w:lineRule="auto"/>
      </w:pPr>
      <w:r>
        <w:rPr>
          <w:b/>
        </w:rPr>
        <w:t xml:space="preserve">Für wen: </w:t>
      </w:r>
      <w:r>
        <w:rPr/>
        <w:t xml:space="preserve">Diese Anweisung gilt für angestellte Rechtsanwältinnen und Rechtsanwälte, alle Mitarbeitenden (zum Beispiel Rechtsanwaltsfachangestellte, Sekretariat, Buchhaltung) und Auszubildende.</w:t>
      </w:r>
    </w:p>
    <w:p>
      <w:pPr>
        <w:spacing w:before="0" w:after="120" w:line="259" w:lineRule="auto"/>
      </w:pPr>
      <w:r>
        <w:rPr>
          <w:b/>
        </w:rPr>
        <w:t xml:space="preserve">Referendarinnen und Referendare: </w:t>
      </w:r>
      <w:r>
        <w:rPr/>
        <w:t xml:space="preserve">Für Referendarinnen und Referendare gilt die Anweisung als Teil der Ausbildung (§ 59 BRAO); Pflichten aus dem Ausbildungsverhältnis bleiben unberührt.</w:t>
      </w:r>
    </w:p>
    <w:p>
      <w:pPr>
        <w:spacing w:before="0" w:after="120" w:line="259" w:lineRule="auto"/>
      </w:pPr>
      <w:r>
        <w:rPr>
          <w:b/>
        </w:rPr>
        <w:t xml:space="preserve">Wofür: </w:t>
      </w:r>
      <w:r>
        <w:rPr/>
        <w:t xml:space="preserve">für jede Arbeit für die Kanzlei, bei der ein KI-Werkzeug genutzt wird: Chat-Assistenten, KI-Funktionen in Kanzlei- und Bürosoftware, Diktat und Übersetzung mit KI, Recherchedienste mit KI, Aufzeichnungs- und Notizfunktionen in Videokonferenzen.</w:t>
      </w:r>
    </w:p>
    <w:p>
      <w:pPr>
        <w:spacing w:before="0" w:after="120" w:line="259" w:lineRule="auto"/>
      </w:pPr>
      <w:r>
        <w:rPr>
          <w:b/>
        </w:rPr>
        <w:t xml:space="preserve">Nicht Gegenstand dieser Anweisung: </w:t>
      </w:r>
      <w:r>
        <w:rPr/>
        <w:t xml:space="preserve">KI bei der Auswahl von Bewerberinnen und Bewerbern und bei der Bewertung von Beschäftigten. Wer das erwägt, wendet sich vorher an die Kanzleileitung. Freie Mitarbeiterinnen und Mitarbeiter sind nicht weisungsgebunden; sie erhalten die Regeln zur Kenntnis.</w:t>
      </w:r>
    </w:p>
    <w:p>
      <w:pPr>
        <w:spacing w:before="0" w:after="120" w:line="259" w:lineRule="auto"/>
      </w:pPr>
      <w:r>
        <w:rPr>
          <w:b/>
        </w:rPr>
        <w:t xml:space="preserve">Was diese Anweisung nicht ersetzt: </w:t>
      </w:r>
      <w:r>
        <w:rPr/>
        <w:t xml:space="preserve">Ihren Arbeits- oder Ausbildungsvertrag, Ihre Verpflichtung zur Verschwiegenheit nach § 43a Abs. 2 BRAO und die Datenschutzunterweisung.</w:t>
      </w:r>
    </w:p>
    <w:p>
      <w:pPr>
        <w:pStyle w:val="Heading1"/>
        <w:keepNext/>
        <w:spacing w:before="0" w:after="80" w:line="259" w:lineRule="auto"/>
      </w:pPr>
      <w:r>
        <w:rPr>
          <w:b/>
          <w:sz w:val="30"/>
          <w:szCs w:val="30"/>
        </w:rPr>
        <w:t xml:space="preserve">2  Freigegebene Werkzeuge</w:t>
      </w:r>
    </w:p>
    <w:p>
      <w:pPr>
        <w:spacing w:before="0" w:after="120" w:line="259" w:lineRule="auto"/>
      </w:pPr>
      <w:r>
        <w:rPr/>
        <w:t xml:space="preserve">Für Aufgaben mit Mandatsdaten gilt nur diese Liste. Für Aufgaben ohne solche Daten gilt zusätzlich Teil 6, Punkt 1.</w:t>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1800"/>
        <w:gridCol w:w="1900"/>
        <w:gridCol w:w="1200"/>
        <w:gridCol w:w="1800"/>
        <w:gridCol w:w="1700"/>
        <w:gridCol w:w="1200"/>
      </w:tblGrid>
      <w:tr>
        <w:trPr>
          <w:cantSplit/>
          <w:tblHeader/>
        </w:trPr>
        <w:tc>
          <w:tcPr>
            <w:tcW w:w="1800" w:type="dxa"/>
            <w:shd w:val="clear" w:color="auto" w:fill="DDE5EE"/>
          </w:tcPr>
          <w:p>
            <w:pPr>
              <w:spacing w:before="0" w:after="30" w:line="259" w:lineRule="auto"/>
            </w:pPr>
            <w:r>
              <w:rPr>
                <w:b/>
                <w:sz w:val="19"/>
                <w:szCs w:val="19"/>
              </w:rPr>
              <w:t xml:space="preserve">Werkzeug, Tarif</w:t>
            </w:r>
          </w:p>
        </w:tc>
        <w:tc>
          <w:tcPr>
            <w:tcW w:w="1900" w:type="dxa"/>
            <w:shd w:val="clear" w:color="auto" w:fill="DDE5EE"/>
          </w:tcPr>
          <w:p>
            <w:pPr>
              <w:spacing w:before="0" w:after="30" w:line="259" w:lineRule="auto"/>
            </w:pPr>
            <w:r>
              <w:rPr>
                <w:b/>
                <w:sz w:val="19"/>
                <w:szCs w:val="19"/>
              </w:rPr>
              <w:t xml:space="preserve">wofür erlaubt</w:t>
            </w:r>
          </w:p>
        </w:tc>
        <w:tc>
          <w:tcPr>
            <w:tcW w:w="1200" w:type="dxa"/>
            <w:shd w:val="clear" w:color="auto" w:fill="DDE5EE"/>
          </w:tcPr>
          <w:p>
            <w:pPr>
              <w:spacing w:before="0" w:after="30" w:line="259" w:lineRule="auto"/>
            </w:pPr>
            <w:r>
              <w:rPr>
                <w:b/>
                <w:sz w:val="19"/>
                <w:szCs w:val="19"/>
              </w:rPr>
              <w:t xml:space="preserve">Mandatsdaten erlaubt? (ja/nein)</w:t>
            </w:r>
          </w:p>
        </w:tc>
        <w:tc>
          <w:tcPr>
            <w:tcW w:w="1800" w:type="dxa"/>
            <w:shd w:val="clear" w:color="auto" w:fill="DDE5EE"/>
          </w:tcPr>
          <w:p>
            <w:pPr>
              <w:spacing w:before="0" w:after="30" w:line="259" w:lineRule="auto"/>
            </w:pPr>
            <w:r>
              <w:rPr>
                <w:b/>
                <w:sz w:val="19"/>
                <w:szCs w:val="19"/>
              </w:rPr>
              <w:t xml:space="preserve">Training mit Eingaben / Speicherdauer</w:t>
            </w:r>
          </w:p>
        </w:tc>
        <w:tc>
          <w:tcPr>
            <w:tcW w:w="1700" w:type="dxa"/>
            <w:shd w:val="clear" w:color="auto" w:fill="DDE5EE"/>
          </w:tcPr>
          <w:p>
            <w:pPr>
              <w:spacing w:before="0" w:after="30" w:line="259" w:lineRule="auto"/>
            </w:pPr>
            <w:r>
              <w:rPr>
                <w:b/>
                <w:sz w:val="19"/>
                <w:szCs w:val="19"/>
              </w:rPr>
              <w:t xml:space="preserve">Vertrag § 43e BRAO und Art. 28 DSGVO liegt vor am</w:t>
            </w:r>
          </w:p>
        </w:tc>
        <w:tc>
          <w:tcPr>
            <w:tcW w:w="1200" w:type="dxa"/>
            <w:shd w:val="clear" w:color="auto" w:fill="DDE5EE"/>
          </w:tcPr>
          <w:p>
            <w:pPr>
              <w:spacing w:before="0" w:after="30" w:line="259" w:lineRule="auto"/>
            </w:pPr>
            <w:r>
              <w:rPr>
                <w:b/>
                <w:sz w:val="19"/>
                <w:szCs w:val="19"/>
              </w:rPr>
              <w:t xml:space="preserve">freigegeben von</w:t>
            </w:r>
          </w:p>
        </w:tc>
      </w:tr>
      <w:tr>
        <w:trPr>
          <w:cantSplit/>
          <w:trHeight w:val="420"/>
        </w:trPr>
        <w:tc>
          <w:tcPr>
            <w:tcW w:w="1800" w:type="dxa"/>
          </w:tcPr>
          <w:p>
            <w:pPr>
              <w:spacing w:before="0" w:after="30" w:line="259" w:lineRule="auto"/>
            </w:pPr>
            <w:r>
              <w:rPr>
                <w:sz w:val="19"/>
                <w:szCs w:val="19"/>
              </w:rPr>
              <w:t xml:space="preserve">Beispiel: Chat-Assistent, Teamtarif</w:t>
            </w:r>
          </w:p>
        </w:tc>
        <w:tc>
          <w:tcPr>
            <w:tcW w:w="1900" w:type="dxa"/>
          </w:tcPr>
          <w:p>
            <w:pPr>
              <w:spacing w:before="0" w:after="30" w:line="259" w:lineRule="auto"/>
            </w:pPr>
            <w:r>
              <w:rPr>
                <w:sz w:val="19"/>
                <w:szCs w:val="19"/>
              </w:rPr>
              <w:t xml:space="preserve">Entwürfe, Zusammenfassungen, Übersetzungen</w:t>
            </w:r>
          </w:p>
        </w:tc>
        <w:tc>
          <w:tcPr>
            <w:tcW w:w="1200" w:type="dxa"/>
          </w:tcPr>
          <w:p>
            <w:pPr>
              <w:spacing w:before="0" w:after="30" w:line="259" w:lineRule="auto"/>
            </w:pPr>
            <w:r>
              <w:rPr>
                <w:sz w:val="19"/>
                <w:szCs w:val="19"/>
              </w:rPr>
              <w:t xml:space="preserve">ja</w:t>
            </w:r>
          </w:p>
        </w:tc>
        <w:tc>
          <w:tcPr>
            <w:tcW w:w="1800" w:type="dxa"/>
          </w:tcPr>
          <w:p>
            <w:pPr>
              <w:spacing w:before="0" w:after="30" w:line="259" w:lineRule="auto"/>
            </w:pPr>
            <w:r>
              <w:rPr>
                <w:sz w:val="19"/>
                <w:szCs w:val="19"/>
              </w:rPr>
              <w:t xml:space="preserve">ausgeschlossen / [Dauer]</w:t>
            </w:r>
          </w:p>
        </w:tc>
        <w:tc>
          <w:tcPr>
            <w:tcW w:w="1700" w:type="dxa"/>
          </w:tcPr>
          <w:p>
            <w:pPr>
              <w:spacing w:before="0" w:after="30" w:line="259" w:lineRule="auto"/>
            </w:pPr>
            <w:r>
              <w:rPr>
                <w:sz w:val="19"/>
                <w:szCs w:val="19"/>
              </w:rPr>
              <w:t xml:space="preserve">[Datum]</w:t>
            </w:r>
          </w:p>
        </w:tc>
        <w:tc>
          <w:tcPr>
            <w:tcW w:w="1200" w:type="dxa"/>
          </w:tcPr>
          <w:p>
            <w:pPr>
              <w:spacing w:before="0" w:after="30" w:line="259" w:lineRule="auto"/>
            </w:pPr>
            <w:r>
              <w:rPr>
                <w:sz w:val="19"/>
                <w:szCs w:val="19"/>
              </w:rPr>
              <w:t xml:space="preserve">[Name]</w:t>
            </w:r>
          </w:p>
        </w:tc>
      </w:tr>
      <w:tr>
        <w:trPr>
          <w:cantSplit/>
          <w:trHeight w:val="420"/>
        </w:trPr>
        <w:tc>
          <w:tcPr>
            <w:tcW w:w="1800" w:type="dxa"/>
          </w:tcPr>
          <w:p>
            <w:pPr>
              <w:spacing w:before="0" w:after="30" w:line="259" w:lineRule="auto"/>
            </w:pPr>
            <w:r>
              <w:rPr>
                <w:sz w:val="19"/>
                <w:szCs w:val="19"/>
              </w:rPr>
              <w:t xml:space="preserve"/>
            </w:r>
          </w:p>
        </w:tc>
        <w:tc>
          <w:tcPr>
            <w:tcW w:w="19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c>
          <w:tcPr>
            <w:tcW w:w="1800" w:type="dxa"/>
          </w:tcPr>
          <w:p>
            <w:pPr>
              <w:spacing w:before="0" w:after="30" w:line="259" w:lineRule="auto"/>
            </w:pPr>
            <w:r>
              <w:rPr>
                <w:sz w:val="19"/>
                <w:szCs w:val="19"/>
              </w:rPr>
              <w:t xml:space="preserve"/>
            </w:r>
          </w:p>
        </w:tc>
        <w:tc>
          <w:tcPr>
            <w:tcW w:w="17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r>
      <w:tr>
        <w:trPr>
          <w:cantSplit/>
          <w:trHeight w:val="420"/>
        </w:trPr>
        <w:tc>
          <w:tcPr>
            <w:tcW w:w="1800" w:type="dxa"/>
          </w:tcPr>
          <w:p>
            <w:pPr>
              <w:spacing w:before="0" w:after="30" w:line="259" w:lineRule="auto"/>
            </w:pPr>
            <w:r>
              <w:rPr>
                <w:sz w:val="19"/>
                <w:szCs w:val="19"/>
              </w:rPr>
              <w:t xml:space="preserve"/>
            </w:r>
          </w:p>
        </w:tc>
        <w:tc>
          <w:tcPr>
            <w:tcW w:w="19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c>
          <w:tcPr>
            <w:tcW w:w="1800" w:type="dxa"/>
          </w:tcPr>
          <w:p>
            <w:pPr>
              <w:spacing w:before="0" w:after="30" w:line="259" w:lineRule="auto"/>
            </w:pPr>
            <w:r>
              <w:rPr>
                <w:sz w:val="19"/>
                <w:szCs w:val="19"/>
              </w:rPr>
              <w:t xml:space="preserve"/>
            </w:r>
          </w:p>
        </w:tc>
        <w:tc>
          <w:tcPr>
            <w:tcW w:w="17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r>
      <w:tr>
        <w:trPr>
          <w:cantSplit/>
          <w:trHeight w:val="420"/>
        </w:trPr>
        <w:tc>
          <w:tcPr>
            <w:tcW w:w="1800" w:type="dxa"/>
          </w:tcPr>
          <w:p>
            <w:pPr>
              <w:spacing w:before="0" w:after="30" w:line="259" w:lineRule="auto"/>
            </w:pPr>
            <w:r>
              <w:rPr>
                <w:sz w:val="19"/>
                <w:szCs w:val="19"/>
              </w:rPr>
              <w:t xml:space="preserve"/>
            </w:r>
          </w:p>
        </w:tc>
        <w:tc>
          <w:tcPr>
            <w:tcW w:w="19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c>
          <w:tcPr>
            <w:tcW w:w="1800" w:type="dxa"/>
          </w:tcPr>
          <w:p>
            <w:pPr>
              <w:spacing w:before="0" w:after="30" w:line="259" w:lineRule="auto"/>
            </w:pPr>
            <w:r>
              <w:rPr>
                <w:sz w:val="19"/>
                <w:szCs w:val="19"/>
              </w:rPr>
              <w:t xml:space="preserve"/>
            </w:r>
          </w:p>
        </w:tc>
        <w:tc>
          <w:tcPr>
            <w:tcW w:w="17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r>
      <w:tr>
        <w:trPr>
          <w:cantSplit/>
          <w:trHeight w:val="420"/>
        </w:trPr>
        <w:tc>
          <w:tcPr>
            <w:tcW w:w="1800" w:type="dxa"/>
          </w:tcPr>
          <w:p>
            <w:pPr>
              <w:spacing w:before="0" w:after="30" w:line="259" w:lineRule="auto"/>
            </w:pPr>
            <w:r>
              <w:rPr>
                <w:sz w:val="19"/>
                <w:szCs w:val="19"/>
              </w:rPr>
              <w:t xml:space="preserve"/>
            </w:r>
          </w:p>
        </w:tc>
        <w:tc>
          <w:tcPr>
            <w:tcW w:w="19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c>
          <w:tcPr>
            <w:tcW w:w="1800" w:type="dxa"/>
          </w:tcPr>
          <w:p>
            <w:pPr>
              <w:spacing w:before="0" w:after="30" w:line="259" w:lineRule="auto"/>
            </w:pPr>
            <w:r>
              <w:rPr>
                <w:sz w:val="19"/>
                <w:szCs w:val="19"/>
              </w:rPr>
              <w:t xml:space="preserve"/>
            </w:r>
          </w:p>
        </w:tc>
        <w:tc>
          <w:tcPr>
            <w:tcW w:w="1700" w:type="dxa"/>
          </w:tcPr>
          <w:p>
            <w:pPr>
              <w:spacing w:before="0" w:after="30" w:line="259" w:lineRule="auto"/>
            </w:pPr>
            <w:r>
              <w:rPr>
                <w:sz w:val="19"/>
                <w:szCs w:val="19"/>
              </w:rPr>
              <w:t xml:space="preserve"/>
            </w:r>
          </w:p>
        </w:tc>
        <w:tc>
          <w:tcPr>
            <w:tcW w:w="1200" w:type="dxa"/>
          </w:tcPr>
          <w:p>
            <w:pPr>
              <w:spacing w:before="0" w:after="30" w:line="259" w:lineRule="auto"/>
            </w:pPr>
            <w:r>
              <w:rPr>
                <w:sz w:val="19"/>
                <w:szCs w:val="19"/>
              </w:rPr>
              <w:t xml:space="preserve"/>
            </w:r>
          </w:p>
        </w:tc>
      </w:tr>
    </w:tbl>
    <w:p>
      <w:pPr>
        <w:spacing w:before="0" w:after="80" w:line="259" w:lineRule="auto"/>
      </w:pPr>
    </w:p>
    <w:p>
      <w:pPr>
        <w:spacing w:before="0" w:after="120" w:line="259" w:lineRule="auto"/>
      </w:pPr>
      <w:r>
        <w:rPr>
          <w:b/>
        </w:rPr>
        <w:t xml:space="preserve">Stand der Liste: </w:t>
      </w:r>
      <w:r>
        <w:rPr/>
        <w:t xml:space="preserve">[Datum] · verantwortlich: [Name, Funktion]</w:t>
      </w:r>
    </w:p>
    <w:p>
      <w:pPr>
        <w:spacing w:before="0" w:after="120" w:line="259" w:lineRule="auto"/>
      </w:pPr>
      <w:r>
        <w:rPr>
          <w:i/>
          <w:color w:val="555555"/>
          <w:sz w:val="17"/>
          <w:szCs w:val="17"/>
        </w:rPr>
        <w:t xml:space="preserve">Vor der Aufnahme geklärt: Vertrag (§ 43e BRAO, Art. 28 DSGVO), ob der Anbieter Eingaben zum Training nutzt, wie lange er sie speichert und wo er die Leistung erbringt (Teil 8).</w:t>
      </w:r>
    </w:p>
    <w:p>
      <w:pPr>
        <w:pStyle w:val="Heading1"/>
        <w:keepNext/>
        <w:spacing w:before="0" w:after="80" w:line="259" w:lineRule="auto"/>
      </w:pPr>
      <w:r>
        <w:rPr>
          <w:b/>
          <w:sz w:val="30"/>
          <w:szCs w:val="30"/>
        </w:rPr>
        <w:t xml:space="preserve">3  Die fünf Kanzleiregeln</w:t>
      </w:r>
    </w:p>
    <w:p>
      <w:pPr>
        <w:keepNext/>
        <w:spacing w:before="0" w:after="40" w:line="259" w:lineRule="auto"/>
        <w:ind w:left="540" w:hanging="540"/>
      </w:pPr>
      <w:r>
        <w:rPr>
          <w:b/>
          <w:sz w:val="24"/>
          <w:szCs w:val="24"/>
        </w:rPr>
        <w:t xml:space="preserve">1.	</w:t>
      </w:r>
      <w:r>
        <w:rPr>
          <w:b/>
          <w:sz w:val="24"/>
          <w:szCs w:val="24"/>
        </w:rPr>
        <w:t xml:space="preserve">KI schreibt Entwürfe, ein Mensch entscheidet und unterschreibt.</w:t>
      </w:r>
    </w:p>
    <w:p>
      <w:pPr>
        <w:spacing w:before="0" w:after="160" w:line="259" w:lineRule="auto"/>
        <w:ind w:left="540" w:hanging="0"/>
      </w:pPr>
      <w:r>
        <w:rPr>
          <w:i/>
        </w:rPr>
        <w:t xml:space="preserve">Was das heißt: </w:t>
      </w:r>
      <w:r>
        <w:rPr/>
        <w:t xml:space="preserve">Ein Ergebnis eines KI-Werkzeugs verlässt die Kanzlei erst, wenn ein Mensch es gelesen und freigegeben hat. Wer unterschreibt, verantwortet den Inhalt. Angestellte Anwältinnen und Anwälte entscheiden fachlich wie bisher selbst.</w:t>
      </w:r>
    </w:p>
    <w:p>
      <w:pPr>
        <w:keepNext/>
        <w:spacing w:before="0" w:after="40" w:line="259" w:lineRule="auto"/>
        <w:ind w:left="540" w:hanging="540"/>
      </w:pPr>
      <w:r>
        <w:rPr>
          <w:b/>
          <w:sz w:val="24"/>
          <w:szCs w:val="24"/>
        </w:rPr>
        <w:t xml:space="preserve">2.	</w:t>
      </w:r>
      <w:r>
        <w:rPr>
          <w:b/>
          <w:sz w:val="24"/>
          <w:szCs w:val="24"/>
        </w:rPr>
        <w:t xml:space="preserve">Jede Fundstelle, Frist, Norm und Forderung wird an der Quelle geprüft.</w:t>
      </w:r>
    </w:p>
    <w:p>
      <w:pPr>
        <w:spacing w:before="0" w:after="160" w:line="259" w:lineRule="auto"/>
        <w:ind w:left="540" w:hanging="0"/>
      </w:pPr>
      <w:r>
        <w:rPr>
          <w:i/>
        </w:rPr>
        <w:t xml:space="preserve">Was das heißt: </w:t>
      </w:r>
      <w:r>
        <w:rPr/>
        <w:t xml:space="preserve">Quelle ist das Gesetz, der amtliche Volltext der Entscheidung, der Kalender oder die zuständige Stelle (etwa die Deutsche Bundesbank für den Basiszinssatz), nie die Angabe des Werkzeugs. Eine Frist aus einem KI-Werkzeug gilt nur als zweite Rechnung.</w:t>
      </w:r>
    </w:p>
    <w:p>
      <w:pPr>
        <w:keepNext/>
        <w:spacing w:before="0" w:after="40" w:line="259" w:lineRule="auto"/>
        <w:ind w:left="540" w:hanging="540"/>
      </w:pPr>
      <w:r>
        <w:rPr>
          <w:b/>
          <w:sz w:val="24"/>
          <w:szCs w:val="24"/>
        </w:rPr>
        <w:t xml:space="preserve">3.	</w:t>
      </w:r>
      <w:r>
        <w:rPr>
          <w:b/>
          <w:sz w:val="24"/>
          <w:szCs w:val="24"/>
        </w:rPr>
        <w:t xml:space="preserve">Wenn-dann-Sätze, Kosten und Folgen werden gegen das Original gelesen.</w:t>
      </w:r>
    </w:p>
    <w:p>
      <w:pPr>
        <w:spacing w:before="0" w:after="160" w:line="259" w:lineRule="auto"/>
        <w:ind w:left="540" w:hanging="0"/>
      </w:pPr>
      <w:r>
        <w:rPr>
          <w:i/>
        </w:rPr>
        <w:t xml:space="preserve">Was das heißt: </w:t>
      </w:r>
      <w:r>
        <w:rPr/>
        <w:t xml:space="preserve">Das gilt besonders für Zusammenfassungen und vereinfachte Briefe. Eine Kontrollliste, die das Werkzeug selbst erstellt hat, ist kein Prüfvermerk.</w:t>
      </w:r>
    </w:p>
    <w:p>
      <w:pPr>
        <w:keepNext/>
        <w:spacing w:before="0" w:after="40" w:line="259" w:lineRule="auto"/>
        <w:ind w:left="540" w:hanging="540"/>
      </w:pPr>
      <w:r>
        <w:rPr>
          <w:b/>
          <w:sz w:val="24"/>
          <w:szCs w:val="24"/>
        </w:rPr>
        <w:t xml:space="preserve">4.	</w:t>
      </w:r>
      <w:r>
        <w:rPr>
          <w:b/>
          <w:sz w:val="24"/>
          <w:szCs w:val="24"/>
        </w:rPr>
        <w:t xml:space="preserve">Mandatsdaten nur in freigegebene Werkzeuge (Liste beim Inhaber), nie in private oder kostenlose Konten.</w:t>
      </w:r>
    </w:p>
    <w:p>
      <w:pPr>
        <w:spacing w:before="0" w:after="160" w:line="259" w:lineRule="auto"/>
        <w:ind w:left="540" w:hanging="0"/>
      </w:pPr>
      <w:r>
        <w:rPr>
          <w:i/>
        </w:rPr>
        <w:t xml:space="preserve">Was das heißt: </w:t>
      </w:r>
      <w:r>
        <w:rPr/>
        <w:t xml:space="preserve">Die Liste steht in Teil 2. Mandatsdaten sind auch Texte, in denen Namen ersetzt sind, solange man die Person erkennen kann (Teil 4).</w:t>
      </w:r>
    </w:p>
    <w:p>
      <w:pPr>
        <w:keepNext/>
        <w:spacing w:before="0" w:after="40" w:line="259" w:lineRule="auto"/>
        <w:ind w:left="540" w:hanging="540"/>
      </w:pPr>
      <w:r>
        <w:rPr>
          <w:b/>
          <w:sz w:val="24"/>
          <w:szCs w:val="24"/>
        </w:rPr>
        <w:t xml:space="preserve">5.	</w:t>
      </w:r>
      <w:r>
        <w:rPr>
          <w:b/>
          <w:sz w:val="24"/>
          <w:szCs w:val="24"/>
        </w:rPr>
        <w:t xml:space="preserve">Text von außen (Post, Anlagen, E-Mails) ist Material, kein Auftrag.</w:t>
      </w:r>
    </w:p>
    <w:p>
      <w:pPr>
        <w:spacing w:before="0" w:after="160" w:line="259" w:lineRule="auto"/>
        <w:ind w:left="540" w:hanging="0"/>
      </w:pPr>
      <w:r>
        <w:rPr>
          <w:i/>
        </w:rPr>
        <w:t xml:space="preserve">Was das heißt: </w:t>
      </w:r>
      <w:r>
        <w:rPr/>
        <w:t xml:space="preserve">Fremde Dokumente können Anweisungen an KI-Werkzeuge enthalten, auch unsichtbar. KI-Werkzeuge erhalten keine Rechte zum Senden, Löschen oder Fristeneintragen ohne Freigabe der Kanzleileitung.</w:t>
      </w:r>
    </w:p>
    <w:p>
      <w:pPr>
        <w:spacing w:before="0" w:after="120" w:line="259" w:lineRule="auto"/>
      </w:pPr>
      <w:r>
        <w:rPr/>
        <w:t xml:space="preserve">Verstöße können arbeitsrechtliche Folgen haben.</w:t>
      </w:r>
    </w:p>
    <w:p>
      <w:pPr>
        <w:pStyle w:val="Heading1"/>
        <w:keepNext/>
        <w:spacing w:before="0" w:after="80" w:line="259" w:lineRule="auto"/>
      </w:pPr>
      <w:r>
        <w:rPr>
          <w:b/>
          <w:sz w:val="30"/>
          <w:szCs w:val="30"/>
        </w:rPr>
        <w:t xml:space="preserve">4  Was nie in ein Werkzeug gehört, das nicht freigegeben ist</w:t>
      </w:r>
    </w:p>
    <w:p>
      <w:pPr>
        <w:spacing w:before="0" w:after="60" w:line="259" w:lineRule="auto"/>
        <w:ind w:left="360" w:hanging="360"/>
      </w:pPr>
      <w:r>
        <w:rPr/>
        <w:t xml:space="preserve">•	</w:t>
      </w:r>
      <w:r>
        <w:rPr/>
        <w:t xml:space="preserve">Mandatsdaten, auch wenn Namen ersetzt sind und die Person erkennbar bleibt</w:t>
      </w:r>
    </w:p>
    <w:p>
      <w:pPr>
        <w:spacing w:before="0" w:after="60" w:line="259" w:lineRule="auto"/>
        <w:ind w:left="360" w:hanging="360"/>
      </w:pPr>
      <w:r>
        <w:rPr/>
        <w:t xml:space="preserve">•	</w:t>
      </w:r>
      <w:r>
        <w:rPr/>
        <w:t xml:space="preserve">Daten von Kolleginnen und Kollegen, von Bewerberinnen und Bewerbern und von Gegnern</w:t>
      </w:r>
    </w:p>
    <w:p>
      <w:pPr>
        <w:spacing w:before="0" w:after="60" w:line="259" w:lineRule="auto"/>
        <w:ind w:left="360" w:hanging="360"/>
      </w:pPr>
      <w:r>
        <w:rPr/>
        <w:t xml:space="preserve">•	</w:t>
      </w:r>
      <w:r>
        <w:rPr/>
        <w:t xml:space="preserve">Zugangsdaten (Passwörter, PINs, Zugänge zu Postfächern und Portalen)</w:t>
      </w:r>
    </w:p>
    <w:p>
      <w:pPr>
        <w:spacing w:before="0" w:after="60" w:line="259" w:lineRule="auto"/>
        <w:ind w:left="360" w:hanging="360"/>
      </w:pPr>
      <w:r>
        <w:rPr/>
        <w:t xml:space="preserve">•	</w:t>
      </w:r>
      <w:r>
        <w:rPr/>
        <w:t xml:space="preserve">interne Kanzleizahlen (Umsätze, Gehälter, Kalkulationen)</w:t>
      </w: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rPr>
        <w:t xml:space="preserve">Beispiel: </w:t>
      </w:r>
      <w:r>
        <w:rPr/>
        <w:t xml:space="preserve">„Herr A. ist der einzige Zahnarzt in einem Ort mit 2.100 Einwohnern, sitzt im Gemeinderat und fuhr nach dem Feuerwehrball gegen das Feuerwehrauto.“ Trotz des Buchstabens weiß im Ort jeder, wer gemeint ist. Namen ersetzen ist keine Anonymisierung.</w:t>
      </w:r>
    </w:p>
    <w:p>
      <w:pPr>
        <w:spacing w:before="0" w:after="60" w:line="259" w:lineRule="auto"/>
      </w:pPr>
    </w:p>
    <w:p>
      <w:pPr>
        <w:pBdr>
          <w:top w:val="single" w:sz="4" w:space="4" w:color="7F7F7F"/>
          <w:left w:val="single" w:sz="4" w:space="4" w:color="7F7F7F"/>
          <w:bottom w:val="single" w:sz="4" w:space="4" w:color="7F7F7F"/>
          <w:right w:val="single" w:sz="4" w:space="4" w:color="7F7F7F"/>
        </w:pBdr>
        <w:shd w:val="clear" w:color="auto" w:fill="F2F2F2"/>
        <w:spacing w:before="0" w:after="40" w:line="259" w:lineRule="auto"/>
      </w:pPr>
      <w:r>
        <w:rPr>
          <w:b/>
        </w:rPr>
        <w:t xml:space="preserve">Beispiel aus dem Familienrecht: </w:t>
      </w:r>
      <w:r>
        <w:rPr/>
        <w:t xml:space="preserve">„Frau B., Erzieherin in der einzigen Kita des Orts, streitet mit dem Inhaber des Autohauses am Marktplatz um den Umgang mit den Zwillingen.“ Ohne einen Namen weiß im Ort jeder, wer gemeint ist.</w:t>
      </w:r>
    </w:p>
    <w:p>
      <w:pPr>
        <w:spacing w:before="0" w:after="60" w:line="259" w:lineRule="auto"/>
      </w:pPr>
    </w:p>
    <w:p>
      <w:pPr>
        <w:spacing w:before="0" w:after="120" w:line="259" w:lineRule="auto"/>
      </w:pPr>
      <w:r>
        <w:rPr/>
        <w:t xml:space="preserve">Mandatsgeheimnisse sind strafrechtlich geschützt (§ 203 StGB); das gilt auch für Sie.</w:t>
      </w:r>
    </w:p>
    <w:p>
      <w:pPr>
        <w:spacing w:before="0" w:after="120" w:line="259" w:lineRule="auto"/>
      </w:pPr>
      <w:r>
        <w:rPr/>
        <w:t xml:space="preserve">Im Zweifel geben Sie nichts ein und fragen vorher (Teil 8).</w:t>
      </w:r>
    </w:p>
    <w:p>
      <w:pPr>
        <w:pStyle w:val="Heading1"/>
        <w:keepNext/>
        <w:spacing w:before="0" w:after="80" w:line="259" w:lineRule="auto"/>
      </w:pPr>
      <w:r>
        <w:rPr>
          <w:b/>
          <w:sz w:val="30"/>
          <w:szCs w:val="30"/>
        </w:rPr>
        <w:t xml:space="preserve">5  Prüfen vor Verwendung</w:t>
      </w:r>
    </w:p>
    <w:p>
      <w:pPr>
        <w:spacing w:before="0" w:after="120" w:line="259" w:lineRule="auto"/>
      </w:pPr>
      <w:r>
        <w:rPr/>
        <w:t xml:space="preserve">Bevor ein KI-Ergebnis in eine Akte, einen Schriftsatz, einen Brief oder den Fristenkalender kommt:</w:t>
      </w:r>
    </w:p>
    <w:p>
      <w:pPr>
        <w:spacing w:before="0" w:after="60" w:line="259" w:lineRule="auto"/>
        <w:ind w:left="360" w:hanging="360"/>
      </w:pPr>
      <w:r>
        <w:rPr/>
        <w:t xml:space="preserve">☐	</w:t>
      </w:r>
      <w:r>
        <w:rPr>
          <w:b/>
        </w:rPr>
        <w:t xml:space="preserve">Fundstelle: </w:t>
      </w:r>
      <w:r>
        <w:rPr/>
        <w:t xml:space="preserve">im amtlichen Volltext geöffnet; die Aussage steht dort so.</w:t>
      </w:r>
    </w:p>
    <w:p>
      <w:pPr>
        <w:spacing w:before="0" w:after="60" w:line="259" w:lineRule="auto"/>
        <w:ind w:left="360" w:hanging="360"/>
      </w:pPr>
      <w:r>
        <w:rPr/>
        <w:t xml:space="preserve">☐	</w:t>
      </w:r>
      <w:r>
        <w:rPr>
          <w:b/>
        </w:rPr>
        <w:t xml:space="preserve">Frist: </w:t>
      </w:r>
      <w:r>
        <w:rPr/>
        <w:t xml:space="preserve">selbst berechnet; das Ergebnis des Werkzeugs nur als zweite Rechnung.</w:t>
      </w:r>
    </w:p>
    <w:p>
      <w:pPr>
        <w:spacing w:before="0" w:after="60" w:line="259" w:lineRule="auto"/>
        <w:ind w:left="360" w:hanging="360"/>
      </w:pPr>
      <w:r>
        <w:rPr/>
        <w:t xml:space="preserve">☐	</w:t>
      </w:r>
      <w:r>
        <w:rPr>
          <w:b/>
        </w:rPr>
        <w:t xml:space="preserve">Norm: </w:t>
      </w:r>
      <w:r>
        <w:rPr/>
        <w:t xml:space="preserve">im Gesetz nachgelesen, mit Absatz und Satz.</w:t>
      </w:r>
    </w:p>
    <w:p>
      <w:pPr>
        <w:spacing w:before="0" w:after="60" w:line="259" w:lineRule="auto"/>
        <w:ind w:left="360" w:hanging="360"/>
      </w:pPr>
      <w:r>
        <w:rPr/>
        <w:t xml:space="preserve">☐	</w:t>
      </w:r>
      <w:r>
        <w:rPr>
          <w:b/>
        </w:rPr>
        <w:t xml:space="preserve">Betrag: </w:t>
      </w:r>
      <w:r>
        <w:rPr/>
        <w:t xml:space="preserve">Zinsen, Kosten und Pauschalen nachgerechnet, Ausgangswerte an der Quelle geprüft.</w:t>
      </w:r>
    </w:p>
    <w:p>
      <w:pPr>
        <w:spacing w:before="0" w:after="60" w:line="259" w:lineRule="auto"/>
        <w:ind w:left="360" w:hanging="360"/>
      </w:pPr>
      <w:r>
        <w:rPr/>
        <w:t xml:space="preserve">☐	</w:t>
      </w:r>
      <w:r>
        <w:rPr>
          <w:b/>
        </w:rPr>
        <w:t xml:space="preserve">Wenn-dann: </w:t>
      </w:r>
      <w:r>
        <w:rPr/>
        <w:t xml:space="preserve">jeder Bedingungssatz gegen das Original gelesen.</w:t>
      </w:r>
    </w:p>
    <w:p>
      <w:pPr>
        <w:spacing w:before="0" w:after="120" w:line="259" w:lineRule="auto"/>
      </w:pPr>
      <w:r>
        <w:rPr>
          <w:i/>
          <w:color w:val="555555"/>
          <w:sz w:val="17"/>
          <w:szCs w:val="17"/>
        </w:rPr>
        <w:t xml:space="preserve">Ausführlich: Prüfkarte „Zitat prüfen“ (https://ratg.de/ki-zitate-pruefen/#pruefkarte) und Prüfliste für KI-Entwürfe von Mandantenbriefen (https://ratg.de/mandantenbrief-einfache-sprache/#vorlage).</w:t>
      </w:r>
    </w:p>
    <w:p>
      <w:pPr>
        <w:pStyle w:val="Heading1"/>
        <w:keepNext/>
        <w:spacing w:before="0" w:after="80" w:line="259" w:lineRule="auto"/>
      </w:pPr>
      <w:r>
        <w:rPr>
          <w:b/>
          <w:sz w:val="30"/>
          <w:szCs w:val="30"/>
        </w:rPr>
        <w:t xml:space="preserve">6  Wahlpunkte</w:t>
      </w:r>
    </w:p>
    <w:p>
      <w:pPr>
        <w:spacing w:before="0" w:after="120" w:line="259" w:lineRule="auto"/>
      </w:pPr>
      <w:r>
        <w:rPr>
          <w:i/>
          <w:color w:val="555555"/>
          <w:sz w:val="17"/>
          <w:szCs w:val="17"/>
        </w:rPr>
        <w:t xml:space="preserve">Die Kanzleileitung kreuzt je Punkt eine Variante an und löscht die übrigen samt der grauen Hinweise. Jeder Punkt ist im Einzelfall zu prüfen.</w:t>
      </w:r>
    </w:p>
    <w:p>
      <w:pPr>
        <w:keepNext/>
        <w:spacing w:before="0" w:after="40" w:line="259" w:lineRule="auto"/>
      </w:pPr>
      <w:r>
        <w:rPr>
          <w:b/>
        </w:rPr>
        <w:t xml:space="preserve">1. Allgemeine Dienste ohne Mandatsdaten</w:t>
      </w:r>
    </w:p>
    <w:p>
      <w:pPr>
        <w:spacing w:before="0" w:after="60" w:line="259" w:lineRule="auto"/>
        <w:ind w:left="360" w:hanging="360"/>
      </w:pPr>
      <w:r>
        <w:rPr/>
        <w:t xml:space="preserve">☐	</w:t>
      </w:r>
      <w:r>
        <w:rPr/>
        <w:t xml:space="preserve">A: Nur die freigegebenen Werkzeuge aus Teil 2.</w:t>
      </w:r>
    </w:p>
    <w:p>
      <w:pPr>
        <w:spacing w:before="0" w:after="60" w:line="259" w:lineRule="auto"/>
        <w:ind w:left="360" w:hanging="360"/>
      </w:pPr>
      <w:r>
        <w:rPr/>
        <w:t xml:space="preserve">☐	</w:t>
      </w:r>
      <w:r>
        <w:rPr/>
        <w:t xml:space="preserve">B: Allgemeine Dienste über ein Kanzleikonto sind erlaubt für Aufgaben ohne Mandats-, Personen- und Kanzleidaten (z. B. Formulierungshilfe, allgemeine Recherche).</w:t>
      </w:r>
    </w:p>
    <w:p>
      <w:pPr>
        <w:spacing w:before="0" w:after="60" w:line="259" w:lineRule="auto"/>
        <w:ind w:left="360" w:hanging="360"/>
      </w:pPr>
      <w:r>
        <w:rPr/>
        <w:t xml:space="preserve">☐	</w:t>
      </w:r>
      <w:r>
        <w:rPr/>
        <w:t xml:space="preserve">C: Private Konten sind für solche Aufgaben erlaubt.</w:t>
      </w:r>
    </w:p>
    <w:p>
      <w:pPr>
        <w:spacing w:before="0" w:after="160" w:line="259" w:lineRule="auto"/>
        <w:ind w:left="360" w:hanging="0"/>
      </w:pPr>
      <w:r>
        <w:rPr>
          <w:i/>
          <w:color w:val="555555"/>
          <w:sz w:val="18"/>
          <w:szCs w:val="18"/>
        </w:rPr>
        <w:t xml:space="preserve">Im Einzelfall prüfen: Bei C bestehen Datenschutz- und Geheimnisrisiken, und die Kanzlei verliert jede Kontrolle. Bei A und B mit lizenziertem Werkzeug: Betriebsrat beteiligen (§ 87 Abs. 1 Nr. 6 BetrVG).</w:t>
      </w:r>
    </w:p>
    <w:p>
      <w:pPr>
        <w:keepNext/>
        <w:spacing w:before="0" w:after="40" w:line="259" w:lineRule="auto"/>
      </w:pPr>
      <w:r>
        <w:rPr>
          <w:b/>
        </w:rPr>
        <w:t xml:space="preserve">2. Private Endgeräte</w:t>
      </w:r>
    </w:p>
    <w:p>
      <w:pPr>
        <w:spacing w:before="0" w:after="60" w:line="259" w:lineRule="auto"/>
        <w:ind w:left="360" w:hanging="360"/>
      </w:pPr>
      <w:r>
        <w:rPr/>
        <w:t xml:space="preserve">☐	</w:t>
      </w:r>
      <w:r>
        <w:rPr/>
        <w:t xml:space="preserve">KI-Werkzeuge dürfen für die Arbeit auf privaten Endgeräten genutzt werden.</w:t>
      </w:r>
    </w:p>
    <w:p>
      <w:pPr>
        <w:spacing w:before="0" w:after="60" w:line="259" w:lineRule="auto"/>
        <w:ind w:left="360" w:hanging="360"/>
      </w:pPr>
      <w:r>
        <w:rPr/>
        <w:t xml:space="preserve">☐	</w:t>
      </w:r>
      <w:r>
        <w:rPr/>
        <w:t xml:space="preserve">KI-Werkzeuge dürfen für die Arbeit nicht auf privaten Endgeräten genutzt werden.</w:t>
      </w:r>
    </w:p>
    <w:p>
      <w:pPr>
        <w:spacing w:before="0" w:after="160" w:line="259" w:lineRule="auto"/>
        <w:ind w:left="360" w:hanging="0"/>
      </w:pPr>
      <w:r>
        <w:rPr>
          <w:i/>
          <w:color w:val="555555"/>
          <w:sz w:val="18"/>
          <w:szCs w:val="18"/>
        </w:rPr>
        <w:t xml:space="preserve">Im Einzelfall prüfen (Datenschutz, Mitbestimmung).</w:t>
      </w:r>
    </w:p>
    <w:p>
      <w:pPr>
        <w:keepNext/>
        <w:spacing w:before="0" w:after="40" w:line="259" w:lineRule="auto"/>
      </w:pPr>
      <w:r>
        <w:rPr>
          <w:b/>
        </w:rPr>
        <w:t xml:space="preserve">3. Kennzeichnung von KI-Entwürfen in der Akte</w:t>
      </w:r>
    </w:p>
    <w:p>
      <w:pPr>
        <w:spacing w:before="0" w:after="60" w:line="259" w:lineRule="auto"/>
        <w:ind w:left="360" w:hanging="360"/>
      </w:pPr>
      <w:r>
        <w:rPr/>
        <w:t xml:space="preserve">☐	</w:t>
      </w:r>
      <w:r>
        <w:rPr/>
        <w:t xml:space="preserve">Wer einen KI-Entwurf verwendet, vermerkt in der Akte: „KI-Entwurf, geprüft von … am …“.</w:t>
      </w:r>
    </w:p>
    <w:p>
      <w:pPr>
        <w:spacing w:before="0" w:after="60" w:line="259" w:lineRule="auto"/>
        <w:ind w:left="360" w:hanging="360"/>
      </w:pPr>
      <w:r>
        <w:rPr/>
        <w:t xml:space="preserve">☐	</w:t>
      </w:r>
      <w:r>
        <w:rPr/>
        <w:t xml:space="preserve">Kein Vermerk.</w:t>
      </w:r>
    </w:p>
    <w:p>
      <w:pPr>
        <w:spacing w:before="0" w:after="160" w:line="259" w:lineRule="auto"/>
        <w:ind w:left="360" w:hanging="0"/>
      </w:pPr>
      <w:r>
        <w:rPr>
          <w:i/>
          <w:color w:val="555555"/>
          <w:sz w:val="18"/>
          <w:szCs w:val="18"/>
        </w:rPr>
        <w:t xml:space="preserve">Im Einzelfall prüfen: Der Vermerk ist freiwillig.</w:t>
      </w:r>
    </w:p>
    <w:p>
      <w:pPr>
        <w:keepNext/>
        <w:spacing w:before="0" w:after="40" w:line="259" w:lineRule="auto"/>
      </w:pPr>
      <w:r>
        <w:rPr>
          <w:b/>
        </w:rPr>
        <w:t xml:space="preserve">4. Mandatsbezogene Nutzung freigegebener Werkzeuge</w:t>
      </w:r>
    </w:p>
    <w:p>
      <w:pPr>
        <w:spacing w:before="0" w:after="60" w:line="259" w:lineRule="auto"/>
        <w:ind w:left="360" w:hanging="360"/>
      </w:pPr>
      <w:r>
        <w:rPr/>
        <w:t xml:space="preserve">☐	</w:t>
      </w:r>
      <w:r>
        <w:rPr/>
        <w:t xml:space="preserve">Nur nach Freigabe je Mandat durch den Sachbearbeiter.</w:t>
      </w:r>
    </w:p>
    <w:p>
      <w:pPr>
        <w:spacing w:before="0" w:after="60" w:line="259" w:lineRule="auto"/>
        <w:ind w:left="360" w:hanging="360"/>
      </w:pPr>
      <w:r>
        <w:rPr/>
        <w:t xml:space="preserve">☐	</w:t>
      </w:r>
      <w:r>
        <w:rPr/>
        <w:t xml:space="preserve">Allgemein freigegeben.</w:t>
      </w:r>
    </w:p>
    <w:p>
      <w:pPr>
        <w:spacing w:before="0" w:after="160" w:line="259" w:lineRule="auto"/>
        <w:ind w:left="360" w:hanging="0"/>
      </w:pPr>
      <w:r>
        <w:rPr>
          <w:i/>
          <w:color w:val="555555"/>
          <w:sz w:val="18"/>
          <w:szCs w:val="18"/>
        </w:rPr>
        <w:t xml:space="preserve">Im Einzelfall prüfen: § 43e Abs. 5 BRAO verlangt für Dienstleistungen, die unmittelbar einem einzelnen Mandat dienen, die Einwilligung des Mandanten; ob das für KI-Werkzeuge gilt, ist offen. Die Kanzleileitung entscheidet.</w:t>
      </w:r>
    </w:p>
    <w:p>
      <w:pPr>
        <w:keepNext/>
        <w:spacing w:before="0" w:after="40" w:line="259" w:lineRule="auto"/>
      </w:pPr>
      <w:r>
        <w:rPr>
          <w:b/>
        </w:rPr>
        <w:t xml:space="preserve">5. Werkzeuge mit Handlungsrechten (Agenten, Postfachzugriff)</w:t>
      </w:r>
    </w:p>
    <w:p>
      <w:pPr>
        <w:spacing w:before="0" w:after="60" w:line="259" w:lineRule="auto"/>
        <w:ind w:left="360" w:hanging="360"/>
      </w:pPr>
      <w:r>
        <w:rPr/>
        <w:t xml:space="preserve">☐	</w:t>
      </w:r>
      <w:r>
        <w:rPr/>
        <w:t xml:space="preserve">Nicht erlaubt.</w:t>
      </w:r>
    </w:p>
    <w:p>
      <w:pPr>
        <w:spacing w:before="0" w:after="60" w:line="259" w:lineRule="auto"/>
        <w:ind w:left="360" w:hanging="360"/>
      </w:pPr>
      <w:r>
        <w:rPr/>
        <w:t xml:space="preserve">☐	</w:t>
      </w:r>
      <w:r>
        <w:rPr/>
        <w:t xml:space="preserve">Einzeln freigegeben: [Werkzeug, Recht, freigegeben am, von].</w:t>
      </w:r>
    </w:p>
    <w:p>
      <w:pPr>
        <w:spacing w:before="0" w:after="160" w:line="259" w:lineRule="auto"/>
        <w:ind w:left="360" w:hanging="0"/>
      </w:pPr>
      <w:r>
        <w:rPr>
          <w:i/>
          <w:color w:val="555555"/>
          <w:sz w:val="18"/>
          <w:szCs w:val="18"/>
        </w:rPr>
        <w:t xml:space="preserve">Im Einzelfall prüfen: Ohne Eintrag gilt „nicht erlaubt“. Jede Freigabe einzeln.</w:t>
      </w:r>
    </w:p>
    <w:p>
      <w:pPr>
        <w:keepNext/>
        <w:spacing w:before="0" w:after="40" w:line="259" w:lineRule="auto"/>
      </w:pPr>
      <w:r>
        <w:rPr>
          <w:b/>
        </w:rPr>
        <w:t xml:space="preserve">6. Betriebsrat</w:t>
      </w:r>
    </w:p>
    <w:p>
      <w:pPr>
        <w:spacing w:before="0" w:after="60" w:line="259" w:lineRule="auto"/>
        <w:ind w:left="360" w:hanging="360"/>
      </w:pPr>
      <w:r>
        <w:rPr/>
        <w:t xml:space="preserve">☐	</w:t>
      </w:r>
      <w:r>
        <w:rPr/>
        <w:t xml:space="preserve">Kein Betriebsrat vorhanden.</w:t>
      </w:r>
    </w:p>
    <w:p>
      <w:pPr>
        <w:spacing w:before="0" w:after="60" w:line="259" w:lineRule="auto"/>
        <w:ind w:left="360" w:hanging="360"/>
      </w:pPr>
      <w:r>
        <w:rPr/>
        <w:t xml:space="preserve">☐	</w:t>
      </w:r>
      <w:r>
        <w:rPr/>
        <w:t xml:space="preserve">Mit dem Betriebsrat vereinbart am [Datum].</w:t>
      </w:r>
    </w:p>
    <w:p>
      <w:pPr>
        <w:spacing w:before="0" w:after="160" w:line="259" w:lineRule="auto"/>
        <w:ind w:left="360" w:hanging="0"/>
      </w:pPr>
      <w:r>
        <w:rPr>
          <w:i/>
          <w:color w:val="555555"/>
          <w:sz w:val="18"/>
          <w:szCs w:val="18"/>
        </w:rPr>
        <w:t xml:space="preserve">Im Einzelfall prüfen, ob eine Betriebsvereinbarung nötig ist.</w:t>
      </w:r>
    </w:p>
    <w:p>
      <w:pPr>
        <w:keepNext/>
        <w:spacing w:before="0" w:after="40" w:line="259" w:lineRule="auto"/>
      </w:pPr>
      <w:r>
        <w:rPr>
          <w:b/>
        </w:rPr>
        <w:t xml:space="preserve">7. Texte für die Öffentlichkeit (Kanzlei-Website, Newsletter)</w:t>
      </w:r>
    </w:p>
    <w:p>
      <w:pPr>
        <w:spacing w:before="0" w:after="60" w:line="259" w:lineRule="auto"/>
        <w:ind w:left="360" w:hanging="360"/>
      </w:pPr>
      <w:r>
        <w:rPr/>
        <w:t xml:space="preserve">☐	</w:t>
      </w:r>
      <w:r>
        <w:rPr/>
        <w:t xml:space="preserve">KI-Entwürfe sind erlaubt; vor der Veröffentlichung prüft sie ein Mensch: [Name].</w:t>
      </w:r>
    </w:p>
    <w:p>
      <w:pPr>
        <w:spacing w:before="0" w:after="60" w:line="259" w:lineRule="auto"/>
        <w:ind w:left="360" w:hanging="360"/>
      </w:pPr>
      <w:r>
        <w:rPr/>
        <w:t xml:space="preserve">☐	</w:t>
      </w:r>
      <w:r>
        <w:rPr/>
        <w:t xml:space="preserve">KI-Entwürfe sind nicht erlaubt.</w:t>
      </w:r>
    </w:p>
    <w:p>
      <w:pPr>
        <w:spacing w:before="0" w:after="160" w:line="259" w:lineRule="auto"/>
        <w:ind w:left="360" w:hanging="0"/>
      </w:pPr>
      <w:r>
        <w:rPr>
          <w:i/>
          <w:color w:val="555555"/>
          <w:sz w:val="18"/>
          <w:szCs w:val="18"/>
        </w:rPr>
        <w:t xml:space="preserve">Im Einzelfall prüfen: Art. 50 Abs. 4 KI-Verordnung. KI-Texte, die veröffentlicht werden, um die Öffentlichkeit über Angelegenheiten von öffentlichem Interesse zu informieren, sind als KI-erzeugt zu kennzeichnen, außer ein Mensch hat sie geprüft und die Kanzlei trägt die redaktionelle Verantwortung.</w:t>
      </w:r>
    </w:p>
    <w:p>
      <w:pPr>
        <w:keepNext/>
        <w:spacing w:before="0" w:after="40" w:line="259" w:lineRule="auto"/>
      </w:pPr>
      <w:r>
        <w:rPr>
          <w:b/>
        </w:rPr>
        <w:t xml:space="preserve">8. Übersetzungen und Diktat mit KI-Funktion vorhandener Software</w:t>
      </w:r>
    </w:p>
    <w:p>
      <w:pPr>
        <w:spacing w:before="0" w:after="60" w:line="259" w:lineRule="auto"/>
        <w:ind w:left="360" w:hanging="360"/>
      </w:pPr>
      <w:r>
        <w:rPr/>
        <w:t xml:space="preserve">☐	</w:t>
      </w:r>
      <w:r>
        <w:rPr/>
        <w:t xml:space="preserve">In die Werkzeugliste (Teil 2) aufgenommen.</w:t>
      </w:r>
    </w:p>
    <w:p>
      <w:pPr>
        <w:spacing w:before="0" w:after="60" w:line="259" w:lineRule="auto"/>
        <w:ind w:left="360" w:hanging="360"/>
      </w:pPr>
      <w:r>
        <w:rPr/>
        <w:t xml:space="preserve">☐	</w:t>
      </w:r>
      <w:r>
        <w:rPr/>
        <w:t xml:space="preserve">Ausgeschlossen.</w:t>
      </w:r>
    </w:p>
    <w:p>
      <w:pPr>
        <w:spacing w:before="0" w:after="160" w:line="259" w:lineRule="auto"/>
        <w:ind w:left="360" w:hanging="0"/>
      </w:pPr>
      <w:r>
        <w:rPr>
          <w:i/>
          <w:color w:val="555555"/>
          <w:sz w:val="18"/>
          <w:szCs w:val="18"/>
        </w:rPr>
        <w:t xml:space="preserve">Im Einzelfall prüfen: Viele vorhandene Programme haben solche Funktionen; sie gehören in Teil 2 oder werden abgeschaltet.</w:t>
      </w:r>
    </w:p>
    <w:p>
      <w:pPr>
        <w:pStyle w:val="Heading1"/>
        <w:keepNext/>
        <w:spacing w:before="0" w:after="80" w:line="259" w:lineRule="auto"/>
      </w:pPr>
      <w:r>
        <w:rPr>
          <w:b/>
          <w:sz w:val="30"/>
          <w:szCs w:val="30"/>
        </w:rPr>
        <w:t xml:space="preserve">7  Fehler und Vorfälle</w:t>
      </w:r>
    </w:p>
    <w:p>
      <w:pPr>
        <w:spacing w:before="0" w:after="120" w:line="259" w:lineRule="auto"/>
      </w:pPr>
      <w:r>
        <w:rPr>
          <w:b/>
        </w:rPr>
        <w:t xml:space="preserve">Melden Sie sofort an: </w:t>
      </w:r>
      <w:r>
        <w:rPr/>
        <w:t xml:space="preserve">[Name, Funktion] · erreichbar: [Telefon, E-Mail] · Vertretung: [Name]</w:t>
      </w:r>
    </w:p>
    <w:p>
      <w:pPr>
        <w:spacing w:before="0" w:after="120" w:line="259" w:lineRule="auto"/>
      </w:pPr>
      <w:r>
        <w:rPr/>
        <w:t xml:space="preserve">Zu melden ist insbesondere:</w:t>
      </w:r>
    </w:p>
    <w:p>
      <w:pPr>
        <w:spacing w:before="0" w:after="60" w:line="259" w:lineRule="auto"/>
        <w:ind w:left="360" w:hanging="360"/>
      </w:pPr>
      <w:r>
        <w:rPr/>
        <w:t xml:space="preserve">•	</w:t>
      </w:r>
      <w:r>
        <w:rPr/>
        <w:t xml:space="preserve">Mandats- oder Personendaten sind in ein Werkzeug gelangt, das nicht freigegeben ist.</w:t>
      </w:r>
    </w:p>
    <w:p>
      <w:pPr>
        <w:spacing w:before="0" w:after="60" w:line="259" w:lineRule="auto"/>
        <w:ind w:left="360" w:hanging="360"/>
      </w:pPr>
      <w:r>
        <w:rPr/>
        <w:t xml:space="preserve">•	</w:t>
      </w:r>
      <w:r>
        <w:rPr/>
        <w:t xml:space="preserve">Ein Fehler aus einem KI-Werkzeug ist schon nach außen gegangen (Schriftsatz, Brief, Frist).</w:t>
      </w:r>
    </w:p>
    <w:p>
      <w:pPr>
        <w:spacing w:before="0" w:after="60" w:line="259" w:lineRule="auto"/>
        <w:ind w:left="360" w:hanging="360"/>
      </w:pPr>
      <w:r>
        <w:rPr/>
        <w:t xml:space="preserve">•	</w:t>
      </w:r>
      <w:r>
        <w:rPr/>
        <w:t xml:space="preserve">Ein Werkzeug hat etwas getan, das niemand verlangt hat.</w:t>
      </w:r>
    </w:p>
    <w:p>
      <w:pPr>
        <w:spacing w:before="0" w:after="60" w:line="259" w:lineRule="auto"/>
        <w:ind w:left="360" w:hanging="360"/>
      </w:pPr>
      <w:r>
        <w:rPr/>
        <w:t xml:space="preserve">•	</w:t>
      </w:r>
      <w:r>
        <w:rPr/>
        <w:t xml:space="preserve">Ein fremdes Dokument enthält eine Anweisung an KI-Werkzeuge.</w:t>
      </w:r>
    </w:p>
    <w:p>
      <w:pPr>
        <w:spacing w:before="0" w:after="120" w:line="259" w:lineRule="auto"/>
      </w:pPr>
      <w:r>
        <w:rPr/>
        <w:t xml:space="preserve">Lieber einmal zu viel melden. Ob eine Meldung an die Datenschutzaufsicht nötig ist, prüft die Kanzlei, nicht Sie. Muss gemeldet werden, muss das unverzüglich geschehen, möglichst binnen 72 Stunden ab Kenntnis (Art. 33 DSGVO); deshalb sofort.</w:t>
      </w:r>
    </w:p>
    <w:p>
      <w:pPr>
        <w:pStyle w:val="Heading1"/>
        <w:keepNext/>
        <w:spacing w:before="0" w:after="80" w:line="259" w:lineRule="auto"/>
      </w:pPr>
      <w:r>
        <w:rPr>
          <w:b/>
          <w:sz w:val="30"/>
          <w:szCs w:val="30"/>
        </w:rPr>
        <w:t xml:space="preserve">8  Fragen und neue Werkzeuge</w:t>
      </w:r>
    </w:p>
    <w:p>
      <w:pPr>
        <w:spacing w:before="0" w:after="120" w:line="259" w:lineRule="auto"/>
      </w:pPr>
      <w:r>
        <w:rPr>
          <w:b/>
        </w:rPr>
        <w:t xml:space="preserve">Ansprechpartner: </w:t>
      </w:r>
      <w:r>
        <w:rPr/>
        <w:t xml:space="preserve">[Name, Funktion, Erreichbarkeit]</w:t>
      </w:r>
    </w:p>
    <w:p>
      <w:pPr>
        <w:spacing w:before="0" w:after="120" w:line="259" w:lineRule="auto"/>
      </w:pPr>
      <w:r>
        <w:rPr/>
        <w:t xml:space="preserve">Erst fragen, dann nutzen. Vorschläge für neue Werkzeuge richten Sie an den Ansprechpartner; die Kanzleileitung prüft Vertrag und Datenschutz, bevor ein Werkzeug in Teil 2 aufgenommen wird.</w:t>
      </w:r>
    </w:p>
    <w:p>
      <w:pPr>
        <w:spacing w:before="0" w:after="120" w:line="259" w:lineRule="auto"/>
      </w:pPr>
      <w:r>
        <w:rPr/>
        <w:t xml:space="preserve">Geprüft wird vor jeder Freigabe insbesondere: ob ein Vertrag nach § 43e BRAO und Art. 28 DSGVO vorliegt, ob der Anbieter Eingaben zum Training seiner Modelle nutzt, wie lange er Eingaben speichert und wo er die Leistung erbringt.</w:t>
      </w:r>
    </w:p>
    <w:p>
      <w:pPr>
        <w:pStyle w:val="Heading1"/>
        <w:keepNext/>
        <w:spacing w:before="0" w:after="80" w:line="259" w:lineRule="auto"/>
      </w:pPr>
      <w:r>
        <w:rPr>
          <w:b/>
          <w:sz w:val="30"/>
          <w:szCs w:val="30"/>
        </w:rPr>
        <w:t xml:space="preserve">9  Kenntnisnahme</w:t>
      </w:r>
    </w:p>
    <w:p>
      <w:pPr>
        <w:spacing w:before="0" w:after="120" w:line="259" w:lineRule="auto"/>
      </w:pPr>
      <w:r>
        <w:rPr/>
        <w:t xml:space="preserve">Ich habe diese Arbeitsanweisung erhalten und gelesen.</w:t>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3200"/>
        <w:gridCol w:w="2600"/>
        <w:gridCol w:w="1600"/>
        <w:gridCol w:w="2200"/>
      </w:tblGrid>
      <w:tr>
        <w:trPr>
          <w:cantSplit/>
          <w:tblHeader/>
        </w:trPr>
        <w:tc>
          <w:tcPr>
            <w:tcW w:w="3200" w:type="dxa"/>
            <w:shd w:val="clear" w:color="auto" w:fill="DDE5EE"/>
          </w:tcPr>
          <w:p>
            <w:pPr>
              <w:spacing w:before="0" w:after="30" w:line="259" w:lineRule="auto"/>
            </w:pPr>
            <w:r>
              <w:rPr>
                <w:b/>
                <w:sz w:val="19"/>
                <w:szCs w:val="19"/>
              </w:rPr>
              <w:t xml:space="preserve">Name</w:t>
            </w:r>
          </w:p>
        </w:tc>
        <w:tc>
          <w:tcPr>
            <w:tcW w:w="2600" w:type="dxa"/>
            <w:shd w:val="clear" w:color="auto" w:fill="DDE5EE"/>
          </w:tcPr>
          <w:p>
            <w:pPr>
              <w:spacing w:before="0" w:after="30" w:line="259" w:lineRule="auto"/>
            </w:pPr>
            <w:r>
              <w:rPr>
                <w:b/>
                <w:sz w:val="19"/>
                <w:szCs w:val="19"/>
              </w:rPr>
              <w:t xml:space="preserve">Funktion</w:t>
            </w:r>
          </w:p>
        </w:tc>
        <w:tc>
          <w:tcPr>
            <w:tcW w:w="1600" w:type="dxa"/>
            <w:shd w:val="clear" w:color="auto" w:fill="DDE5EE"/>
          </w:tcPr>
          <w:p>
            <w:pPr>
              <w:spacing w:before="0" w:after="30" w:line="259" w:lineRule="auto"/>
            </w:pPr>
            <w:r>
              <w:rPr>
                <w:b/>
                <w:sz w:val="19"/>
                <w:szCs w:val="19"/>
              </w:rPr>
              <w:t xml:space="preserve">Datum</w:t>
            </w:r>
          </w:p>
        </w:tc>
        <w:tc>
          <w:tcPr>
            <w:tcW w:w="2200" w:type="dxa"/>
            <w:shd w:val="clear" w:color="auto" w:fill="DDE5EE"/>
          </w:tcPr>
          <w:p>
            <w:pPr>
              <w:spacing w:before="0" w:after="30" w:line="259" w:lineRule="auto"/>
            </w:pPr>
            <w:r>
              <w:rPr>
                <w:b/>
                <w:sz w:val="19"/>
                <w:szCs w:val="19"/>
              </w:rPr>
              <w:t xml:space="preserve">Unterschrift oder Kürzel</w:t>
            </w:r>
          </w:p>
        </w:tc>
      </w:tr>
      <w:tr>
        <w:trPr>
          <w:cantSplit/>
          <w:trHeight w:val="400"/>
        </w:trPr>
        <w:tc>
          <w:tcPr>
            <w:tcW w:w="3200" w:type="dxa"/>
          </w:tcPr>
          <w:p>
            <w:pPr>
              <w:spacing w:before="0" w:after="30" w:line="259" w:lineRule="auto"/>
            </w:pPr>
            <w:r>
              <w:rPr>
                <w:sz w:val="19"/>
                <w:szCs w:val="19"/>
              </w:rPr>
              <w:t xml:space="preserve">Beispiel: Erika Muster</w:t>
            </w:r>
          </w:p>
        </w:tc>
        <w:tc>
          <w:tcPr>
            <w:tcW w:w="2600" w:type="dxa"/>
          </w:tcPr>
          <w:p>
            <w:pPr>
              <w:spacing w:before="0" w:after="30" w:line="259" w:lineRule="auto"/>
            </w:pPr>
            <w:r>
              <w:rPr>
                <w:sz w:val="19"/>
                <w:szCs w:val="19"/>
              </w:rPr>
              <w:t xml:space="preserve">Rechtsanwaltsfachangestellte</w:t>
            </w:r>
          </w:p>
        </w:tc>
        <w:tc>
          <w:tcPr>
            <w:tcW w:w="1600" w:type="dxa"/>
          </w:tcPr>
          <w:p>
            <w:pPr>
              <w:spacing w:before="0" w:after="30" w:line="259" w:lineRule="auto"/>
            </w:pPr>
            <w:r>
              <w:rPr>
                <w:sz w:val="19"/>
                <w:szCs w:val="19"/>
              </w:rPr>
              <w:t xml:space="preserve">[Datum]</w:t>
            </w:r>
          </w:p>
        </w:tc>
        <w:tc>
          <w:tcPr>
            <w:tcW w:w="2200" w:type="dxa"/>
          </w:tcPr>
          <w:p>
            <w:pPr>
              <w:spacing w:before="0" w:after="30" w:line="259" w:lineRule="auto"/>
            </w:pPr>
            <w:r>
              <w:rPr>
                <w:sz w:val="19"/>
                <w:szCs w:val="19"/>
              </w:rPr>
              <w:t xml:space="preserve">EM</w:t>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r>
        <w:trPr>
          <w:cantSplit/>
          <w:trHeight w:val="400"/>
        </w:trPr>
        <w:tc>
          <w:tcPr>
            <w:tcW w:w="3200" w:type="dxa"/>
          </w:tcPr>
          <w:p>
            <w:pPr>
              <w:spacing w:before="0" w:after="30" w:line="259" w:lineRule="auto"/>
            </w:pPr>
            <w:r>
              <w:rPr>
                <w:sz w:val="19"/>
                <w:szCs w:val="19"/>
              </w:rPr>
              <w:t xml:space="preserve"/>
            </w:r>
          </w:p>
        </w:tc>
        <w:tc>
          <w:tcPr>
            <w:tcW w:w="2600" w:type="dxa"/>
          </w:tcPr>
          <w:p>
            <w:pPr>
              <w:spacing w:before="0" w:after="30" w:line="259" w:lineRule="auto"/>
            </w:pPr>
            <w:r>
              <w:rPr>
                <w:sz w:val="19"/>
                <w:szCs w:val="19"/>
              </w:rPr>
              <w:t xml:space="preserve"/>
            </w:r>
          </w:p>
        </w:tc>
        <w:tc>
          <w:tcPr>
            <w:tcW w:w="1600" w:type="dxa"/>
          </w:tcPr>
          <w:p>
            <w:pPr>
              <w:spacing w:before="0" w:after="30" w:line="259" w:lineRule="auto"/>
            </w:pPr>
            <w:r>
              <w:rPr>
                <w:sz w:val="19"/>
                <w:szCs w:val="19"/>
              </w:rPr>
              <w:t xml:space="preserve"/>
            </w:r>
          </w:p>
        </w:tc>
        <w:tc>
          <w:tcPr>
            <w:tcW w:w="2200" w:type="dxa"/>
          </w:tcPr>
          <w:p>
            <w:pPr>
              <w:spacing w:before="0" w:after="30" w:line="259" w:lineRule="auto"/>
            </w:pPr>
            <w:r>
              <w:rPr>
                <w:sz w:val="19"/>
                <w:szCs w:val="19"/>
              </w:rPr>
              <w:t xml:space="preserve"/>
            </w:r>
          </w:p>
        </w:tc>
      </w:tr>
    </w:tbl>
    <w:p>
      <w:pPr>
        <w:spacing w:before="0" w:after="80" w:line="259" w:lineRule="auto"/>
      </w:pPr>
    </w:p>
    <w:p>
      <w:pPr>
        <w:spacing w:before="0" w:after="120" w:line="259" w:lineRule="auto"/>
      </w:pPr>
      <w:r>
        <w:rPr>
          <w:i/>
          <w:color w:val="555555"/>
          <w:sz w:val="17"/>
          <w:szCs w:val="17"/>
        </w:rPr>
        <w:t xml:space="preserve">Die Bestätigung belegt nur den Erhalt. Sie ist keine Zustimmung und keine Vertragserklärung.</w:t>
      </w:r>
    </w:p>
    <w:p>
      <w:pPr>
        <w:spacing w:before="0" w:after="120" w:line="259" w:lineRule="auto"/>
      </w:pPr>
      <w:r>
        <w:rPr>
          <w:i/>
          <w:color w:val="555555"/>
          <w:sz w:val="17"/>
          <w:szCs w:val="17"/>
        </w:rPr>
        <w:t xml:space="preserve">Vorlage von ratg.de, Stand: Oktober 2026 (Rechtsstand 26.10.2026). Vorlage zur eigenen Anpassung, keine Rechtsberatung. Es gelten die Nutzungsbedingungen für Vorlagen (https://ratg.de/nutzungsbedingungen/). Erläuterung: https://ratg.de/ki-regeln-kanzlei/</w:t>
      </w:r>
    </w:p>
    <w:p>
      <w:r>
        <w:br w:type="page"/>
      </w:r>
    </w:p>
    <w:p>
      <w:pPr>
        <w:spacing w:before="0" w:after="60" w:line="259" w:lineRule="auto"/>
      </w:pPr>
      <w:r>
        <w:rPr>
          <w:color w:val="555555"/>
          <w:sz w:val="20"/>
          <w:szCs w:val="20"/>
        </w:rPr>
        <w:t xml:space="preserve">Aushang</w:t>
      </w:r>
    </w:p>
    <w:p>
      <w:pPr>
        <w:spacing w:before="0" w:after="360" w:line="259" w:lineRule="auto"/>
      </w:pPr>
      <w:r>
        <w:rPr>
          <w:b/>
          <w:sz w:val="44"/>
          <w:szCs w:val="44"/>
        </w:rPr>
        <w:t xml:space="preserve">Die fünf Kanzleiregeln für KI-Werkzeuge</w:t>
      </w:r>
    </w:p>
    <w:p>
      <w:pPr>
        <w:spacing w:before="0" w:after="320" w:line="259" w:lineRule="auto"/>
        <w:ind w:left="720" w:hanging="720"/>
      </w:pPr>
      <w:r>
        <w:rPr>
          <w:b/>
          <w:sz w:val="36"/>
          <w:szCs w:val="36"/>
        </w:rPr>
        <w:t xml:space="preserve">1.	</w:t>
      </w:r>
      <w:r>
        <w:rPr>
          <w:b/>
          <w:sz w:val="36"/>
          <w:szCs w:val="36"/>
        </w:rPr>
        <w:t xml:space="preserve">KI schreibt Entwürfe, ein Mensch entscheidet und unterschreibt.</w:t>
      </w:r>
    </w:p>
    <w:p>
      <w:pPr>
        <w:spacing w:before="0" w:after="320" w:line="259" w:lineRule="auto"/>
        <w:ind w:left="720" w:hanging="720"/>
      </w:pPr>
      <w:r>
        <w:rPr>
          <w:b/>
          <w:sz w:val="36"/>
          <w:szCs w:val="36"/>
        </w:rPr>
        <w:t xml:space="preserve">2.	</w:t>
      </w:r>
      <w:r>
        <w:rPr>
          <w:b/>
          <w:sz w:val="36"/>
          <w:szCs w:val="36"/>
        </w:rPr>
        <w:t xml:space="preserve">Jede Fundstelle, Frist, Norm und Forderung wird an der Quelle geprüft.</w:t>
      </w:r>
    </w:p>
    <w:p>
      <w:pPr>
        <w:spacing w:before="0" w:after="320" w:line="259" w:lineRule="auto"/>
        <w:ind w:left="720" w:hanging="720"/>
      </w:pPr>
      <w:r>
        <w:rPr>
          <w:b/>
          <w:sz w:val="36"/>
          <w:szCs w:val="36"/>
        </w:rPr>
        <w:t xml:space="preserve">3.	</w:t>
      </w:r>
      <w:r>
        <w:rPr>
          <w:b/>
          <w:sz w:val="36"/>
          <w:szCs w:val="36"/>
        </w:rPr>
        <w:t xml:space="preserve">Wenn-dann-Sätze, Kosten und Folgen werden gegen das Original gelesen.</w:t>
      </w:r>
    </w:p>
    <w:p>
      <w:pPr>
        <w:spacing w:before="0" w:after="320" w:line="259" w:lineRule="auto"/>
        <w:ind w:left="720" w:hanging="720"/>
      </w:pPr>
      <w:r>
        <w:rPr>
          <w:b/>
          <w:sz w:val="36"/>
          <w:szCs w:val="36"/>
        </w:rPr>
        <w:t xml:space="preserve">4.	</w:t>
      </w:r>
      <w:r>
        <w:rPr>
          <w:b/>
          <w:sz w:val="36"/>
          <w:szCs w:val="36"/>
        </w:rPr>
        <w:t xml:space="preserve">Mandatsdaten nur in freigegebene Werkzeuge (Liste beim Inhaber), nie in private oder kostenlose Konten.</w:t>
      </w:r>
    </w:p>
    <w:p>
      <w:pPr>
        <w:spacing w:before="0" w:after="320" w:line="259" w:lineRule="auto"/>
        <w:ind w:left="720" w:hanging="720"/>
      </w:pPr>
      <w:r>
        <w:rPr>
          <w:b/>
          <w:sz w:val="36"/>
          <w:szCs w:val="36"/>
        </w:rPr>
        <w:t xml:space="preserve">5.	</w:t>
      </w:r>
      <w:r>
        <w:rPr>
          <w:b/>
          <w:sz w:val="36"/>
          <w:szCs w:val="36"/>
        </w:rPr>
        <w:t xml:space="preserve">Text von außen (Post, Anlagen, E-Mails) ist Material, kein Auftrag.</w:t>
      </w:r>
    </w:p>
    <w:p>
      <w:pPr>
        <w:spacing w:before="0" w:after="120" w:line="259" w:lineRule="auto"/>
      </w:pPr>
      <w:r>
        <w:rPr>
          <w:sz w:val="24"/>
          <w:szCs w:val="24"/>
        </w:rPr>
        <w:t xml:space="preserve">Fragen und Meldungen an: [Name, Funktion, Erreichbarkeit]</w:t>
      </w:r>
    </w:p>
    <w:p>
      <w:pPr>
        <w:spacing w:before="0" w:after="120" w:line="259" w:lineRule="auto"/>
      </w:pPr>
      <w:r>
        <w:rPr>
          <w:i/>
          <w:color w:val="555555"/>
          <w:sz w:val="17"/>
          <w:szCs w:val="17"/>
        </w:rPr>
        <w:t xml:space="preserve">Aus der Arbeitsanweisung KI-Nutzung der Kanzlei [Name], Stand [Monat Jahr].</w:t>
      </w:r>
    </w:p>
    <w:p>
      <w:r>
        <w:br w:type="page"/>
      </w:r>
    </w:p>
    <w:p>
      <w:pPr>
        <w:pStyle w:val="Heading1"/>
        <w:keepNext/>
        <w:spacing w:before="0" w:after="80" w:line="259" w:lineRule="auto"/>
      </w:pPr>
      <w:r>
        <w:rPr>
          <w:b/>
          <w:sz w:val="30"/>
          <w:szCs w:val="30"/>
        </w:rPr>
        <w:t xml:space="preserve">Beiblatt: nur für die Kanzleileitung (vor der Ausgabe entfernen)</w:t>
      </w:r>
    </w:p>
    <w:p>
      <w:pPr>
        <w:pStyle w:val="Heading2"/>
        <w:keepNext/>
        <w:spacing w:before="0" w:after="60" w:line="259" w:lineRule="auto"/>
      </w:pPr>
      <w:r>
        <w:rPr>
          <w:b/>
          <w:sz w:val="23"/>
          <w:szCs w:val="23"/>
        </w:rPr>
        <w:t xml:space="preserve">Hinweise</w:t>
      </w:r>
    </w:p>
    <w:p>
      <w:pPr>
        <w:spacing w:before="0" w:after="60" w:line="259" w:lineRule="auto"/>
        <w:ind w:left="360" w:hanging="360"/>
      </w:pPr>
      <w:r>
        <w:rPr/>
        <w:t xml:space="preserve">•	</w:t>
      </w:r>
      <w:r>
        <w:rPr/>
        <w:t xml:space="preserve">Gibt es einen Betriebsrat: Werkzeugliste und jede Auswertung von Nutzungsdaten vorher mit ihm vereinbaren (§ 87 Abs. 1 Nr. 6 BetrVG).</w:t>
      </w:r>
    </w:p>
    <w:p>
      <w:pPr>
        <w:spacing w:before="0" w:after="60" w:line="259" w:lineRule="auto"/>
        <w:ind w:left="360" w:hanging="360"/>
      </w:pPr>
      <w:r>
        <w:rPr/>
        <w:t xml:space="preserve">•	</w:t>
      </w:r>
      <w:r>
        <w:rPr/>
        <w:t xml:space="preserve">Für Referendarinnen und Referendare gilt die Anweisung als Teil der Ausbildung (§ 59 BRAO); Pflichten aus dem Ausbildungsverhältnis bleiben unberührt.</w:t>
      </w:r>
    </w:p>
    <w:p>
      <w:pPr>
        <w:spacing w:before="0" w:after="60" w:line="259" w:lineRule="auto"/>
        <w:ind w:left="360" w:hanging="360"/>
      </w:pPr>
      <w:r>
        <w:rPr/>
        <w:t xml:space="preserve">•	</w:t>
      </w:r>
      <w:r>
        <w:rPr/>
        <w:t xml:space="preserve">Freie Mitarbeiter sind nicht weisungsgebunden; ihnen geben Sie die Regeln zur Kenntnis. Verbindlich werden sie nur durch Vereinbarung; eine Klausel dafür enthält diese Vorlage nicht.</w:t>
      </w:r>
    </w:p>
    <w:p>
      <w:pPr>
        <w:spacing w:before="0" w:after="60" w:line="259" w:lineRule="auto"/>
        <w:ind w:left="360" w:hanging="360"/>
      </w:pPr>
      <w:r>
        <w:rPr/>
        <w:t xml:space="preserve">•	</w:t>
      </w:r>
      <w:r>
        <w:rPr/>
        <w:t xml:space="preserve">Die Freigabe eines Werkzeugs (Vertrag nach § 43e BRAO, Auftragsverarbeitung nach Art. 28 DSGVO) prüft die Kanzleileitung vorher; die Liste in Teil 2 ist nur so gut wie diese Prüfung.</w:t>
      </w:r>
    </w:p>
    <w:p>
      <w:pPr>
        <w:spacing w:before="0" w:after="60" w:line="259" w:lineRule="auto"/>
        <w:ind w:left="360" w:hanging="360"/>
      </w:pPr>
      <w:r>
        <w:rPr/>
        <w:t xml:space="preserve">•	</w:t>
      </w:r>
      <w:r>
        <w:rPr/>
        <w:t xml:space="preserve">Die Anweisung ist ein Mittel, auf die Verschwiegenheit hinzuwirken (§ 43a Abs. 2 Satz 5 BRAO). Die Verpflichtung in Textform mit Belehrung über die strafrechtlichen Folgen (Satz 4) ersetzt sie nicht; eine Vorlage dafür steht im Prozesshandbuch, Teil D (https://ratg.de/kanzleiorganisation/#download). Für Referendare gilt Satz 4 nicht (Satz 7).</w:t>
      </w:r>
    </w:p>
    <w:p>
      <w:pPr>
        <w:spacing w:before="0" w:after="60" w:line="259" w:lineRule="auto"/>
        <w:ind w:left="360" w:hanging="360"/>
      </w:pPr>
      <w:r>
        <w:rPr/>
        <w:t xml:space="preserve">•	</w:t>
      </w:r>
      <w:r>
        <w:rPr/>
        <w:t xml:space="preserve">Die Anweisung ist ein Schritt im Sinne von Art. 32 Abs. 4 DSGVO (Personen, die Daten verarbeiten, tun das nur auf Anweisung). Sie kann helfen, Art. 4 KI-Verordnung zu erfüllen (Maßnahmen, die den Aufbau von KI-Kompetenz unterstützen), zusammen mit einer Schulung (https://ratg.de/ki-schulung-kanzlei/).</w:t>
      </w:r>
    </w:p>
    <w:p>
      <w:pPr>
        <w:spacing w:before="0" w:after="60" w:line="259" w:lineRule="auto"/>
        <w:ind w:left="360" w:hanging="360"/>
      </w:pPr>
      <w:r>
        <w:rPr/>
        <w:t xml:space="preserve">•	</w:t>
      </w:r>
      <w:r>
        <w:rPr/>
        <w:t xml:space="preserve">Einführung und Anwendung eines Werkzeugs mit Benutzerkonten und Verlauf können nach § 87 Abs. 1 Nr. 6 BetrVG mitbestimmt sein, etwa welche Nutzungsdaten es speichert und wer sie einsehen kann; Regeln zur Arbeit selbst wie die fünf Kanzleiregeln sind es nicht. Regeln zu Pausen, Privatnutzung und Verhalten außerhalb der Arbeit gehören nicht hierher (§ 87 Abs. 1 Nr. 1 und 2 BetrVG).</w:t>
      </w:r>
    </w:p>
    <w:p>
      <w:pPr>
        <w:pStyle w:val="Heading2"/>
        <w:keepNext/>
        <w:spacing w:before="0" w:after="60" w:line="259" w:lineRule="auto"/>
      </w:pPr>
      <w:r>
        <w:rPr>
          <w:b/>
          <w:sz w:val="23"/>
          <w:szCs w:val="23"/>
        </w:rPr>
        <w:t xml:space="preserve">Vorschlag für Teil 6 in einer kleinen Kanzlei</w:t>
      </w:r>
    </w:p>
    <w:p>
      <w:pPr>
        <w:spacing w:before="0" w:after="120" w:line="259" w:lineRule="auto"/>
      </w:pPr>
      <w:r>
        <w:rPr/>
        <w:t xml:space="preserve">Vorschlag der Redaktion für eine kleine Kanzlei ohne Betriebsrat, die ihre Werkzeuge geprüft hat. Er ersetzt die Prüfung im Einzelfall nicht; die Hinweise in Teil 6 gelten weiter.</w:t>
      </w:r>
    </w:p>
    <w:p>
      <w:pPr>
        <w:spacing w:before="0" w:after="60" w:line="259" w:lineRule="auto"/>
        <w:ind w:left="360" w:hanging="360"/>
      </w:pPr>
      <w:r>
        <w:rPr/>
        <w:t xml:space="preserve">•	</w:t>
      </w:r>
      <w:r>
        <w:rPr/>
        <w:t xml:space="preserve">Punkt 1: Variante B (allgemeine Dienste über ein Kanzleikonto, ohne Mandats-, Personen- und Kanzleidaten).</w:t>
      </w:r>
    </w:p>
    <w:p>
      <w:pPr>
        <w:spacing w:before="0" w:after="60" w:line="259" w:lineRule="auto"/>
        <w:ind w:left="360" w:hanging="360"/>
      </w:pPr>
      <w:r>
        <w:rPr/>
        <w:t xml:space="preserve">•	</w:t>
      </w:r>
      <w:r>
        <w:rPr/>
        <w:t xml:space="preserve">Punkt 2: private Endgeräte nicht erlaubt.</w:t>
      </w:r>
    </w:p>
    <w:p>
      <w:pPr>
        <w:spacing w:before="0" w:after="60" w:line="259" w:lineRule="auto"/>
        <w:ind w:left="360" w:hanging="360"/>
      </w:pPr>
      <w:r>
        <w:rPr/>
        <w:t xml:space="preserve">•	</w:t>
      </w:r>
      <w:r>
        <w:rPr/>
        <w:t xml:space="preserve">Punkt 3: Vermerk „KI-Entwurf, geprüft von … am …“.</w:t>
      </w:r>
    </w:p>
    <w:p>
      <w:pPr>
        <w:spacing w:before="0" w:after="60" w:line="259" w:lineRule="auto"/>
        <w:ind w:left="360" w:hanging="360"/>
      </w:pPr>
      <w:r>
        <w:rPr/>
        <w:t xml:space="preserve">•	</w:t>
      </w:r>
      <w:r>
        <w:rPr/>
        <w:t xml:space="preserve">Punkt 4: nur nach Freigabe je Mandat durch den Sachbearbeiter.</w:t>
      </w:r>
    </w:p>
    <w:p>
      <w:pPr>
        <w:spacing w:before="0" w:after="60" w:line="259" w:lineRule="auto"/>
        <w:ind w:left="360" w:hanging="360"/>
      </w:pPr>
      <w:r>
        <w:rPr/>
        <w:t xml:space="preserve">•	</w:t>
      </w:r>
      <w:r>
        <w:rPr/>
        <w:t xml:space="preserve">Punkt 5: Werkzeuge mit Handlungsrechten nicht erlaubt.</w:t>
      </w:r>
    </w:p>
    <w:p>
      <w:pPr>
        <w:spacing w:before="0" w:after="60" w:line="259" w:lineRule="auto"/>
        <w:ind w:left="360" w:hanging="360"/>
      </w:pPr>
      <w:r>
        <w:rPr/>
        <w:t xml:space="preserve">•	</w:t>
      </w:r>
      <w:r>
        <w:rPr/>
        <w:t xml:space="preserve">Punkt 6: ankreuzen, was zutrifft.</w:t>
      </w:r>
    </w:p>
    <w:p>
      <w:pPr>
        <w:spacing w:before="0" w:after="60" w:line="259" w:lineRule="auto"/>
        <w:ind w:left="360" w:hanging="360"/>
      </w:pPr>
      <w:r>
        <w:rPr/>
        <w:t xml:space="preserve">•	</w:t>
      </w:r>
      <w:r>
        <w:rPr/>
        <w:t xml:space="preserve">Punkt 7: KI-Entwürfe erlaubt, ein Mensch prüft vor der Veröffentlichung.</w:t>
      </w:r>
    </w:p>
    <w:p>
      <w:pPr>
        <w:spacing w:before="0" w:after="60" w:line="259" w:lineRule="auto"/>
        <w:ind w:left="360" w:hanging="360"/>
      </w:pPr>
      <w:r>
        <w:rPr/>
        <w:t xml:space="preserve">•	</w:t>
      </w:r>
      <w:r>
        <w:rPr/>
        <w:t xml:space="preserve">Punkt 8: KI-Funktionen, die genutzt werden, in Teil 2 aufnehmen; die übrigen abschalten.</w:t>
      </w:r>
    </w:p>
    <w:p>
      <w:pPr>
        <w:pStyle w:val="Heading2"/>
        <w:keepNext/>
        <w:spacing w:before="0" w:after="60" w:line="259" w:lineRule="auto"/>
      </w:pPr>
      <w:r>
        <w:rPr>
          <w:b/>
          <w:sz w:val="23"/>
          <w:szCs w:val="23"/>
        </w:rPr>
        <w:t xml:space="preserve">Vor der Ausgabe</w:t>
      </w:r>
    </w:p>
    <w:p>
      <w:pPr>
        <w:spacing w:before="0" w:after="60" w:line="259" w:lineRule="auto"/>
        <w:ind w:left="360" w:hanging="360"/>
      </w:pPr>
      <w:r>
        <w:rPr/>
        <w:t xml:space="preserve">☐	</w:t>
      </w:r>
      <w:r>
        <w:rPr/>
        <w:t xml:space="preserve">Verträge der Werkzeuge prüfen (§ 43e BRAO, Art. 28 DSGVO, bei Dienstleistungen, die im Ausland erbracht werden, § 43e Abs. 4 BRAO), Training und Speicherdauer klären und Teil 2 ausfüllen.</w:t>
      </w:r>
    </w:p>
    <w:p>
      <w:pPr>
        <w:spacing w:before="0" w:after="60" w:line="259" w:lineRule="auto"/>
        <w:ind w:left="360" w:hanging="360"/>
      </w:pPr>
      <w:r>
        <w:rPr/>
        <w:t xml:space="preserve">☐	</w:t>
      </w:r>
      <w:r>
        <w:rPr/>
        <w:t xml:space="preserve">In Teil 6 je Punkt eine Variante ankreuzen, die übrigen löschen.</w:t>
      </w:r>
    </w:p>
    <w:p>
      <w:pPr>
        <w:spacing w:before="0" w:after="60" w:line="259" w:lineRule="auto"/>
        <w:ind w:left="360" w:hanging="360"/>
      </w:pPr>
      <w:r>
        <w:rPr/>
        <w:t xml:space="preserve">☐	</w:t>
      </w:r>
      <w:r>
        <w:rPr/>
        <w:t xml:space="preserve">Meldeweg (Teil 7) und Ansprechpartner (Teil 8) eintragen, Vertretung bestimmen.</w:t>
      </w:r>
    </w:p>
    <w:p>
      <w:pPr>
        <w:spacing w:before="0" w:after="60" w:line="259" w:lineRule="auto"/>
        <w:ind w:left="360" w:hanging="360"/>
      </w:pPr>
      <w:r>
        <w:rPr/>
        <w:t xml:space="preserve">☐	</w:t>
      </w:r>
      <w:r>
        <w:rPr/>
        <w:t xml:space="preserve">Mit Betriebsrat: Werkzeugliste vorher mit ihm vereinbaren.</w:t>
      </w:r>
    </w:p>
    <w:p>
      <w:pPr>
        <w:spacing w:before="0" w:after="60" w:line="259" w:lineRule="auto"/>
        <w:ind w:left="360" w:hanging="360"/>
      </w:pPr>
      <w:r>
        <w:rPr/>
        <w:t xml:space="preserve">☐	</w:t>
      </w:r>
      <w:r>
        <w:rPr/>
        <w:t xml:space="preserve">Aushang ausfüllen, ausdrucken und aufhängen.</w:t>
      </w:r>
    </w:p>
    <w:p>
      <w:pPr>
        <w:spacing w:before="0" w:after="60" w:line="259" w:lineRule="auto"/>
        <w:ind w:left="360" w:hanging="360"/>
      </w:pPr>
      <w:r>
        <w:rPr/>
        <w:t xml:space="preserve">☐	</w:t>
      </w:r>
      <w:r>
        <w:rPr/>
        <w:t xml:space="preserve">Beiblatt entfernen, Anweisung ausgeben, Kenntnisnahme einsammeln und ablegen.</w:t>
      </w:r>
    </w:p>
    <w:p>
      <w:pPr>
        <w:pStyle w:val="Heading2"/>
        <w:keepNext/>
        <w:spacing w:before="0" w:after="60" w:line="259" w:lineRule="auto"/>
      </w:pPr>
      <w:r>
        <w:rPr>
          <w:b/>
          <w:sz w:val="23"/>
          <w:szCs w:val="23"/>
        </w:rPr>
        <w:t xml:space="preserve">Nicht in dieser Vorlage, und warum</w:t>
      </w:r>
    </w:p>
    <w:p>
      <w:pPr>
        <w:spacing w:before="0" w:after="120" w:line="259" w:lineRule="auto"/>
      </w:pPr>
      <w:r>
        <w:rPr/>
        <w:t xml:space="preserve">Wer einen dieser Punkte regeln will, lässt das im Einzelfall anwaltlich prüfen.</w:t>
      </w:r>
    </w:p>
    <w:tbl>
      <w:tblPr>
        <w:tblW w:w="9600" w:type="dxa"/>
        <w:tblLayout w:type="fixed"/>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40" w:type="dxa"/>
          <w:left w:w="80" w:type="dxa"/>
          <w:bottom w:w="40" w:type="dxa"/>
          <w:right w:w="80" w:type="dxa"/>
        </w:tblCellMar>
      </w:tblPr>
      <w:tblGrid>
        <w:gridCol w:w="4200"/>
        <w:gridCol w:w="5400"/>
      </w:tblGrid>
      <w:tr>
        <w:trPr>
          <w:cantSplit/>
          <w:tblHeader/>
        </w:trPr>
        <w:tc>
          <w:tcPr>
            <w:tcW w:w="4200" w:type="dxa"/>
            <w:shd w:val="clear" w:color="auto" w:fill="DDE5EE"/>
          </w:tcPr>
          <w:p>
            <w:pPr>
              <w:spacing w:before="0" w:after="30" w:line="259" w:lineRule="auto"/>
            </w:pPr>
            <w:r>
              <w:rPr>
                <w:b/>
                <w:sz w:val="19"/>
                <w:szCs w:val="19"/>
              </w:rPr>
              <w:t xml:space="preserve">Inhalt</w:t>
            </w:r>
          </w:p>
        </w:tc>
        <w:tc>
          <w:tcPr>
            <w:tcW w:w="5400" w:type="dxa"/>
            <w:shd w:val="clear" w:color="auto" w:fill="DDE5EE"/>
          </w:tcPr>
          <w:p>
            <w:pPr>
              <w:spacing w:before="0" w:after="30" w:line="259" w:lineRule="auto"/>
            </w:pPr>
            <w:r>
              <w:rPr>
                <w:b/>
                <w:sz w:val="19"/>
                <w:szCs w:val="19"/>
              </w:rPr>
              <w:t xml:space="preserve">Grund</w:t>
            </w:r>
          </w:p>
        </w:tc>
      </w:tr>
      <w:tr>
        <w:trPr>
          <w:cantSplit/>
        </w:trPr>
        <w:tc>
          <w:tcPr>
            <w:tcW w:w="4200" w:type="dxa"/>
          </w:tcPr>
          <w:p>
            <w:pPr>
              <w:spacing w:before="0" w:after="30" w:line="259" w:lineRule="auto"/>
            </w:pPr>
            <w:r>
              <w:rPr>
                <w:sz w:val="19"/>
                <w:szCs w:val="19"/>
              </w:rPr>
              <w:t xml:space="preserve">Vertragsstrafe, Schadenersatz-, Regress- oder Haftungsregel</w:t>
            </w:r>
          </w:p>
        </w:tc>
        <w:tc>
          <w:tcPr>
            <w:tcW w:w="5400" w:type="dxa"/>
          </w:tcPr>
          <w:p>
            <w:pPr>
              <w:spacing w:before="0" w:after="30" w:line="259" w:lineRule="auto"/>
            </w:pPr>
            <w:r>
              <w:rPr>
                <w:sz w:val="19"/>
                <w:szCs w:val="19"/>
              </w:rPr>
              <w:t xml:space="preserve">Vertragsklausel; die Haftung von Arbeitnehmern folgt eigenen Grundsätzen</w:t>
            </w:r>
          </w:p>
        </w:tc>
      </w:tr>
      <w:tr>
        <w:trPr>
          <w:cantSplit/>
        </w:trPr>
        <w:tc>
          <w:tcPr>
            <w:tcW w:w="4200" w:type="dxa"/>
          </w:tcPr>
          <w:p>
            <w:pPr>
              <w:spacing w:before="0" w:after="30" w:line="259" w:lineRule="auto"/>
            </w:pPr>
            <w:r>
              <w:rPr>
                <w:sz w:val="19"/>
                <w:szCs w:val="19"/>
              </w:rPr>
              <w:t xml:space="preserve">Katalog von Sanktionen (Abmahnung, Kündigung)</w:t>
            </w:r>
          </w:p>
        </w:tc>
        <w:tc>
          <w:tcPr>
            <w:tcW w:w="5400" w:type="dxa"/>
          </w:tcPr>
          <w:p>
            <w:pPr>
              <w:spacing w:before="0" w:after="30" w:line="259" w:lineRule="auto"/>
            </w:pPr>
            <w:r>
              <w:rPr>
                <w:sz w:val="19"/>
                <w:szCs w:val="19"/>
              </w:rPr>
              <w:t xml:space="preserve">arbeitsrechtliche Folgen sind eine Frage des Einzelfalls; zulässig ist nur der neutrale Satz „Verstöße können arbeitsrechtliche Folgen haben“ (steht in Teil 3)</w:t>
            </w:r>
          </w:p>
        </w:tc>
      </w:tr>
      <w:tr>
        <w:trPr>
          <w:cantSplit/>
        </w:trPr>
        <w:tc>
          <w:tcPr>
            <w:tcW w:w="4200" w:type="dxa"/>
          </w:tcPr>
          <w:p>
            <w:pPr>
              <w:spacing w:before="0" w:after="30" w:line="259" w:lineRule="auto"/>
            </w:pPr>
            <w:r>
              <w:rPr>
                <w:sz w:val="19"/>
                <w:szCs w:val="19"/>
              </w:rPr>
              <w:t xml:space="preserve">Kontrolle oder Auswertung von Nutzungsverläufen, Stichproben in Konten</w:t>
            </w:r>
          </w:p>
        </w:tc>
        <w:tc>
          <w:tcPr>
            <w:tcW w:w="5400" w:type="dxa"/>
          </w:tcPr>
          <w:p>
            <w:pPr>
              <w:spacing w:before="0" w:after="30" w:line="259" w:lineRule="auto"/>
            </w:pPr>
            <w:r>
              <w:rPr>
                <w:sz w:val="19"/>
                <w:szCs w:val="19"/>
              </w:rPr>
              <w:t xml:space="preserve">§ 87 Abs. 1 Nr. 6 BetrVG, Beschäftigtendatenschutz, gegebenenfalls Datenschutz-Folgenabschätzung</w:t>
            </w:r>
          </w:p>
        </w:tc>
      </w:tr>
      <w:tr>
        <w:trPr>
          <w:cantSplit/>
        </w:trPr>
        <w:tc>
          <w:tcPr>
            <w:tcW w:w="4200" w:type="dxa"/>
          </w:tcPr>
          <w:p>
            <w:pPr>
              <w:spacing w:before="0" w:after="30" w:line="259" w:lineRule="auto"/>
            </w:pPr>
            <w:r>
              <w:rPr>
                <w:sz w:val="19"/>
                <w:szCs w:val="19"/>
              </w:rPr>
              <w:t xml:space="preserve">Zugriff auf private Geräte oder Konten, Pflicht zur Nutzung privater Geräte oder Konten</w:t>
            </w:r>
          </w:p>
        </w:tc>
        <w:tc>
          <w:tcPr>
            <w:tcW w:w="5400" w:type="dxa"/>
          </w:tcPr>
          <w:p>
            <w:pPr>
              <w:spacing w:before="0" w:after="30" w:line="259" w:lineRule="auto"/>
            </w:pPr>
            <w:r>
              <w:rPr>
                <w:sz w:val="19"/>
                <w:szCs w:val="19"/>
              </w:rPr>
              <w:t xml:space="preserve">außerhalb des Weisungsrechts; Kosten- und Datenschutzfragen</w:t>
            </w:r>
          </w:p>
        </w:tc>
      </w:tr>
      <w:tr>
        <w:trPr>
          <w:cantSplit/>
        </w:trPr>
        <w:tc>
          <w:tcPr>
            <w:tcW w:w="4200" w:type="dxa"/>
          </w:tcPr>
          <w:p>
            <w:pPr>
              <w:spacing w:before="0" w:after="30" w:line="259" w:lineRule="auto"/>
            </w:pPr>
            <w:r>
              <w:rPr>
                <w:sz w:val="19"/>
                <w:szCs w:val="19"/>
              </w:rPr>
              <w:t xml:space="preserve">Einwilligung der Beschäftigten</w:t>
            </w:r>
          </w:p>
        </w:tc>
        <w:tc>
          <w:tcPr>
            <w:tcW w:w="5400" w:type="dxa"/>
          </w:tcPr>
          <w:p>
            <w:pPr>
              <w:spacing w:before="0" w:after="30" w:line="259" w:lineRule="auto"/>
            </w:pPr>
            <w:r>
              <w:rPr>
                <w:sz w:val="19"/>
                <w:szCs w:val="19"/>
              </w:rPr>
              <w:t xml:space="preserve">Freiwilligkeit im Arbeitsverhältnis fraglich (Art. 7 Abs. 4, Art. 88 DSGVO)</w:t>
            </w:r>
          </w:p>
        </w:tc>
      </w:tr>
      <w:tr>
        <w:trPr>
          <w:cantSplit/>
        </w:trPr>
        <w:tc>
          <w:tcPr>
            <w:tcW w:w="4200" w:type="dxa"/>
          </w:tcPr>
          <w:p>
            <w:pPr>
              <w:spacing w:before="0" w:after="30" w:line="259" w:lineRule="auto"/>
            </w:pPr>
            <w:r>
              <w:rPr>
                <w:sz w:val="19"/>
                <w:szCs w:val="19"/>
              </w:rPr>
              <w:t xml:space="preserve">Muster für Information oder Einwilligung von Mandanten nach § 43e Abs. 5 BRAO</w:t>
            </w:r>
          </w:p>
        </w:tc>
        <w:tc>
          <w:tcPr>
            <w:tcW w:w="5400" w:type="dxa"/>
          </w:tcPr>
          <w:p>
            <w:pPr>
              <w:spacing w:before="0" w:after="30" w:line="259" w:lineRule="auto"/>
            </w:pPr>
            <w:r>
              <w:rPr>
                <w:sz w:val="19"/>
                <w:szCs w:val="19"/>
              </w:rPr>
              <w:t xml:space="preserve">Musterklausel, offene Rechtsfrage</w:t>
            </w:r>
          </w:p>
        </w:tc>
      </w:tr>
      <w:tr>
        <w:trPr>
          <w:cantSplit/>
        </w:trPr>
        <w:tc>
          <w:tcPr>
            <w:tcW w:w="4200" w:type="dxa"/>
          </w:tcPr>
          <w:p>
            <w:pPr>
              <w:spacing w:before="0" w:after="30" w:line="259" w:lineRule="auto"/>
            </w:pPr>
            <w:r>
              <w:rPr>
                <w:sz w:val="19"/>
                <w:szCs w:val="19"/>
              </w:rPr>
              <w:t xml:space="preserve">Muster-Betriebsvereinbarung</w:t>
            </w:r>
          </w:p>
        </w:tc>
        <w:tc>
          <w:tcPr>
            <w:tcW w:w="5400" w:type="dxa"/>
          </w:tcPr>
          <w:p>
            <w:pPr>
              <w:spacing w:before="0" w:after="30" w:line="259" w:lineRule="auto"/>
            </w:pPr>
            <w:r>
              <w:rPr>
                <w:sz w:val="19"/>
                <w:szCs w:val="19"/>
              </w:rPr>
              <w:t xml:space="preserve">Musterklausel</w:t>
            </w:r>
          </w:p>
        </w:tc>
      </w:tr>
      <w:tr>
        <w:trPr>
          <w:cantSplit/>
        </w:trPr>
        <w:tc>
          <w:tcPr>
            <w:tcW w:w="4200" w:type="dxa"/>
          </w:tcPr>
          <w:p>
            <w:pPr>
              <w:spacing w:before="0" w:after="30" w:line="259" w:lineRule="auto"/>
            </w:pPr>
            <w:r>
              <w:rPr>
                <w:sz w:val="19"/>
                <w:szCs w:val="19"/>
              </w:rPr>
              <w:t xml:space="preserve">Klausel für Arbeitsverträge oder Verträge mit freien Mitarbeitern</w:t>
            </w:r>
          </w:p>
        </w:tc>
        <w:tc>
          <w:tcPr>
            <w:tcW w:w="5400" w:type="dxa"/>
          </w:tcPr>
          <w:p>
            <w:pPr>
              <w:spacing w:before="0" w:after="30" w:line="259" w:lineRule="auto"/>
            </w:pPr>
            <w:r>
              <w:rPr>
                <w:sz w:val="19"/>
                <w:szCs w:val="19"/>
              </w:rPr>
              <w:t xml:space="preserve">Musterklausel</w:t>
            </w:r>
          </w:p>
        </w:tc>
      </w:tr>
      <w:tr>
        <w:trPr>
          <w:cantSplit/>
        </w:trPr>
        <w:tc>
          <w:tcPr>
            <w:tcW w:w="4200" w:type="dxa"/>
          </w:tcPr>
          <w:p>
            <w:pPr>
              <w:spacing w:before="0" w:after="30" w:line="259" w:lineRule="auto"/>
            </w:pPr>
            <w:r>
              <w:rPr>
                <w:sz w:val="19"/>
                <w:szCs w:val="19"/>
              </w:rPr>
              <w:t xml:space="preserve">Regeln zu Pausen, Privatnutzung, Verhalten außerhalb der Arbeit</w:t>
            </w:r>
          </w:p>
        </w:tc>
        <w:tc>
          <w:tcPr>
            <w:tcW w:w="5400" w:type="dxa"/>
          </w:tcPr>
          <w:p>
            <w:pPr>
              <w:spacing w:before="0" w:after="30" w:line="259" w:lineRule="auto"/>
            </w:pPr>
            <w:r>
              <w:rPr>
                <w:sz w:val="19"/>
                <w:szCs w:val="19"/>
              </w:rPr>
              <w:t xml:space="preserve">Pausen: § 87 Abs. 1 Nr. 2 BetrVG; Privatnutzung: Ordnung im Betrieb, als Weisung möglich (§ 106 Satz 2 GewO), aber mitbestimmt (§ 87 Abs. 1 Nr. 1 BetrVG); Verhalten außerhalb der Arbeit: außerhalb des Weisungsrechts</w:t>
            </w:r>
          </w:p>
        </w:tc>
      </w:tr>
      <w:tr>
        <w:trPr>
          <w:cantSplit/>
        </w:trPr>
        <w:tc>
          <w:tcPr>
            <w:tcW w:w="4200" w:type="dxa"/>
          </w:tcPr>
          <w:p>
            <w:pPr>
              <w:spacing w:before="0" w:after="30" w:line="259" w:lineRule="auto"/>
            </w:pPr>
            <w:r>
              <w:rPr>
                <w:sz w:val="19"/>
                <w:szCs w:val="19"/>
              </w:rPr>
              <w:t xml:space="preserve">KI bei Bewerberauswahl und Leistungsbewertung</w:t>
            </w:r>
          </w:p>
        </w:tc>
        <w:tc>
          <w:tcPr>
            <w:tcW w:w="5400" w:type="dxa"/>
          </w:tcPr>
          <w:p>
            <w:pPr>
              <w:spacing w:before="0" w:after="30" w:line="259" w:lineRule="auto"/>
            </w:pPr>
            <w:r>
              <w:rPr>
                <w:sz w:val="19"/>
                <w:szCs w:val="19"/>
              </w:rPr>
              <w:t xml:space="preserve">Hochrisiko-Einsatz nach Anhang III KI-Verordnung, Mitbestimmung (§§ 87, 94, 95 BetrVG)</w:t>
            </w:r>
          </w:p>
        </w:tc>
      </w:tr>
      <w:tr>
        <w:trPr>
          <w:cantSplit/>
        </w:trPr>
        <w:tc>
          <w:tcPr>
            <w:tcW w:w="4200" w:type="dxa"/>
          </w:tcPr>
          <w:p>
            <w:pPr>
              <w:spacing w:before="0" w:after="30" w:line="259" w:lineRule="auto"/>
            </w:pPr>
            <w:r>
              <w:rPr>
                <w:sz w:val="19"/>
                <w:szCs w:val="19"/>
              </w:rPr>
              <w:t xml:space="preserve">Aussagen über Prüfungsleistungen von Referendaren oder ihre Pflichten gegenüber dem Oberlandesgericht</w:t>
            </w:r>
          </w:p>
        </w:tc>
        <w:tc>
          <w:tcPr>
            <w:tcW w:w="5400" w:type="dxa"/>
          </w:tcPr>
          <w:p>
            <w:pPr>
              <w:spacing w:before="0" w:after="30" w:line="259" w:lineRule="auto"/>
            </w:pPr>
            <w:r>
              <w:rPr>
                <w:sz w:val="19"/>
                <w:szCs w:val="19"/>
              </w:rPr>
              <w:t xml:space="preserve">Landesrecht, Einzelfall</w:t>
            </w:r>
          </w:p>
        </w:tc>
      </w:tr>
    </w:tbl>
    <w:p>
      <w:pPr>
        <w:spacing w:before="0" w:after="80" w:line="259" w:lineRule="auto"/>
      </w:pPr>
    </w:p>
    <w:p>
      <w:pPr>
        <w:spacing w:before="0" w:after="0" w:line="259" w:lineRule="auto"/>
      </w:pPr>
      <w:r>
        <w:rPr>
          <w:i/>
          <w:color w:val="555555"/>
          <w:sz w:val="16"/>
          <w:szCs w:val="16"/>
        </w:rPr>
        <w:t xml:space="preserve">Vorlage von ratg.de, Stand: Oktober 2026 (Rechtsstand 26.10.2026). Vorlage zur eigenen Anpassung, keine Rechtsberatung. Es gelten die Nutzungsbedingungen für Vorlagen (https://ratg.de/nutzungsbedingungen/). Erläuterung: https://ratg.de/ki-regeln-kanzlei/</w:t>
      </w:r>
    </w:p>
    <w:sectPr>
      <w:pgSz w:w="11906" w:h="16838"/>
      <w:pgMar w:top="1021" w:right="1021" w:bottom="1021" w:left="1134" w:header="567" w:footer="567" w:gutter="0"/>
    </w:sectPr>
  </w:body>
</w:document>
</file>

<file path=word/styles.xml><?xml version="1.0" encoding="utf-8"?>
<w:styles xmlns:w="http://schemas.openxmlformats.org/wordprocessingml/2006/main" xmlns:r="http://schemas.openxmlformats.org/officeDocument/2006/relationships">
  <w:docDefaults>
    <w:rPrDefault>
      <w:rPr>
        <w:rFonts w:ascii="Calibri" w:hAnsi="Calibri" w:cs="Calibri" w:eastAsia="Segoe UI Symbol"/>
        <w:sz w:val="21"/>
        <w:szCs w:val="21"/>
        <w:lang w:val="de-DE"/>
      </w:rPr>
    </w:rPrDefault>
    <w:pPrDefault>
      <w:pPr>
        <w:spacing w:after="120"/>
      </w:pPr>
    </w:pPrDefault>
  </w:docDefaults>
  <w:style w:type="paragraph" w:default="1" w:styleId="Normal">
    <w:name w:val="Normal"/>
  </w:style>
  <w:style w:type="paragraph" w:styleId="Heading1">
    <w:name w:val="heading 1"/>
    <w:basedOn w:val="Normal"/>
    <w:next w:val="Normal"/>
    <w:qFormat/>
    <w:pPr>
      <w:spacing w:before="240"/>
      <w:outlineLvl w:val="0"/>
    </w:pPr>
  </w:style>
  <w:style w:type="paragraph" w:styleId="Heading2">
    <w:name w:val="heading 2"/>
    <w:basedOn w:val="Normal"/>
    <w:next w:val="Normal"/>
    <w:qFormat/>
    <w:pPr>
      <w:outlineLvl w:val="1"/>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Arbeitsanweisung KI-Nutzung (Stand Oktober 2026)</dc:title>
  <dc:creator>ratg.de</dc:creator>
  <cp:lastModifiedBy>ratg.de</cp:lastModifiedBy>
  <dc:language>de-DE</dc:language>
</cp:coreProperties>
</file>