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160"/>
      </w:pPr>
      <w:r>
        <w:rPr>
          <w:b/>
          <w:sz w:val="32"/>
        </w:rPr>
        <w:t xml:space="preserve">Kanzleistrategie auf einer Seite</w:t>
      </w:r>
    </w:p>
    <w:p>
      <w:pPr>
        <w:spacing w:after="120" w:line="276" w:lineRule="auto"/>
      </w:pPr>
      <w:r>
        <w:rPr>
          <w:i/>
          <w:sz w:val="18"/>
          <w:color w:val="555555"/>
        </w:rPr>
        <w:t xml:space="preserve">Vorlage von ratg.de, Stand November 2026. Zum Beitrag: https://ratg.de/kanzleistrategie/ · Platzhalter in [eckigen Klammern]; ein ausgefülltes Beispiel steht auf den letzten Seiten.</w:t>
      </w:r>
    </w:p>
    <w:p>
      <w:pPr>
        <w:spacing w:after="120" w:line="276" w:lineRule="auto"/>
      </w:pPr>
      <w:r>
        <w:rPr/>
        <w:t xml:space="preserve">Kanzlei: ______________________   Stand vom: ____________   Nächste Überprüfung am: ____________</w:t>
      </w:r>
    </w:p>
    <w:tbl>
      <w:tblPr>
        <w:tblW w:w="5000" w:type="pct"/>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Pr>
      <w:tblGrid>
        <w:gridCol w:w="2700"/>
        <w:gridCol w:w="6938"/>
      </w:tblGrid>
      <w:tr>
        <w:trPr>
          <w:cantSplit/>
          <w:trHeight w:val="1300"/>
        </w:trPr>
        <w:tc>
          <w:tcPr>
            <w:tcW w:w="2700" w:type="dxa"/>
            <w:shd w:val="clear" w:color="auto" w:fill="EFEFEF"/>
          </w:tcPr>
          <w:p>
            <w:pPr>
              <w:spacing w:after="0"/>
            </w:pPr>
            <w:r>
              <w:rPr>
                <w:b/>
                <w:sz w:val="20"/>
              </w:rPr>
              <w:t xml:space="preserve">1. Positionierung (ein Satz)</w:t>
            </w:r>
          </w:p>
        </w:tc>
        <w:tc>
          <w:tcPr>
            <w:tcW w:w="6938" w:type="dxa"/>
          </w:tcPr>
          <w:p>
            <w:pPr>
              <w:spacing w:after="0"/>
            </w:pPr>
            <w:r>
              <w:rPr>
                <w:sz w:val="19"/>
              </w:rPr>
              <w:t xml:space="preserve">Wir sind die Kanzlei für [Zielmandanten] mit [Anliegen] in [Gebiet]. Anders als andere [Unterschied, den ein Mandant bemerkt].</w:t>
            </w:r>
          </w:p>
        </w:tc>
      </w:tr>
      <w:tr>
        <w:trPr>
          <w:cantSplit/>
          <w:trHeight w:val="1300"/>
        </w:trPr>
        <w:tc>
          <w:tcPr>
            <w:tcW w:w="2700" w:type="dxa"/>
            <w:shd w:val="clear" w:color="auto" w:fill="EFEFEF"/>
          </w:tcPr>
          <w:p>
            <w:pPr>
              <w:spacing w:after="0"/>
            </w:pPr>
            <w:r>
              <w:rPr>
                <w:b/>
                <w:sz w:val="20"/>
              </w:rPr>
              <w:t xml:space="preserve">2. Zielmandanten (zwei bis drei Gruppen)</w:t>
            </w:r>
          </w:p>
        </w:tc>
        <w:tc>
          <w:tcPr>
            <w:tcW w:w="6938" w:type="dxa"/>
          </w:tcPr>
          <w:p>
            <w:pPr>
              <w:spacing w:after="0"/>
            </w:pPr>
            <w:r>
              <w:rPr>
                <w:sz w:val="19"/>
              </w:rPr>
              <w:t xml:space="preserve">Mehr davon: [Gruppe 1] · [Gruppe 2] · [Gruppe 3]</w:t>
            </w:r>
            <w:r>
              <w:br/>
            </w:r>
            <w:r>
              <w:rPr>
                <w:sz w:val="19"/>
              </w:rPr>
              <w:t xml:space="preserve">Weniger davon / abgeben an: [Gruppe]</w:t>
            </w:r>
          </w:p>
        </w:tc>
      </w:tr>
      <w:tr>
        <w:trPr>
          <w:cantSplit/>
          <w:trHeight w:val="1300"/>
        </w:trPr>
        <w:tc>
          <w:tcPr>
            <w:tcW w:w="2700" w:type="dxa"/>
            <w:shd w:val="clear" w:color="auto" w:fill="EFEFEF"/>
          </w:tcPr>
          <w:p>
            <w:pPr>
              <w:spacing w:after="0"/>
            </w:pPr>
            <w:r>
              <w:rPr>
                <w:b/>
                <w:sz w:val="20"/>
              </w:rPr>
              <w:t xml:space="preserve">3. Leistungen und Preise (höchstens fünf)</w:t>
            </w:r>
          </w:p>
        </w:tc>
        <w:tc>
          <w:tcPr>
            <w:tcW w:w="6938" w:type="dxa"/>
          </w:tcPr>
          <w:p>
            <w:pPr>
              <w:spacing w:after="0"/>
            </w:pPr>
            <w:r>
              <w:rPr>
                <w:sz w:val="19"/>
              </w:rPr>
              <w:t xml:space="preserve">[Leistung] – [Honorarmodell: RVG / Pauschale / Zeithonorar] – [Ergebnis je Mandat: positiv / negativ / unbekannt]</w:t>
            </w:r>
          </w:p>
        </w:tc>
      </w:tr>
      <w:tr>
        <w:trPr>
          <w:cantSplit/>
          <w:trHeight w:val="1300"/>
        </w:trPr>
        <w:tc>
          <w:tcPr>
            <w:tcW w:w="2700" w:type="dxa"/>
            <w:shd w:val="clear" w:color="auto" w:fill="EFEFEF"/>
          </w:tcPr>
          <w:p>
            <w:pPr>
              <w:spacing w:after="0"/>
            </w:pPr>
            <w:r>
              <w:rPr>
                <w:b/>
                <w:sz w:val="20"/>
              </w:rPr>
              <w:t xml:space="preserve">4. Leitbild</w:t>
            </w:r>
          </w:p>
        </w:tc>
        <w:tc>
          <w:tcPr>
            <w:tcW w:w="6938" w:type="dxa"/>
          </w:tcPr>
          <w:p>
            <w:pPr>
              <w:spacing w:after="0"/>
            </w:pPr>
            <w:r>
              <w:rPr>
                <w:sz w:val="19"/>
              </w:rPr>
              <w:t xml:space="preserve">Mission (heute): [was wir für wen tun]</w:t>
            </w:r>
            <w:r>
              <w:br/>
            </w:r>
            <w:r>
              <w:rPr>
                <w:sz w:val="19"/>
              </w:rPr>
              <w:t xml:space="preserve">Vision (in fünf bis zehn Jahren): [prüfbarer Zustand]</w:t>
            </w:r>
            <w:r>
              <w:br/>
            </w:r>
            <w:r>
              <w:rPr>
                <w:sz w:val="19"/>
              </w:rPr>
              <w:t xml:space="preserve">Werte mit Regel: [Wert] – [Regel, die man beobachten kann] (drei Zeilen)</w:t>
            </w:r>
          </w:p>
        </w:tc>
      </w:tr>
      <w:tr>
        <w:trPr>
          <w:cantSplit/>
          <w:trHeight w:val="1300"/>
        </w:trPr>
        <w:tc>
          <w:tcPr>
            <w:tcW w:w="2700" w:type="dxa"/>
            <w:shd w:val="clear" w:color="auto" w:fill="EFEFEF"/>
          </w:tcPr>
          <w:p>
            <w:pPr>
              <w:spacing w:after="0"/>
            </w:pPr>
            <w:r>
              <w:rPr>
                <w:b/>
                <w:sz w:val="20"/>
              </w:rPr>
              <w:t xml:space="preserve">5. Ziele mit Kennzahl (höchstens fünf)</w:t>
            </w:r>
          </w:p>
        </w:tc>
        <w:tc>
          <w:tcPr>
            <w:tcW w:w="6938" w:type="dxa"/>
          </w:tcPr>
          <w:p>
            <w:pPr>
              <w:spacing w:after="0"/>
            </w:pPr>
            <w:r>
              <w:rPr>
                <w:sz w:val="19"/>
              </w:rPr>
              <w:t xml:space="preserve">[Kennzahl]: Ist [Wert] → Ziel [Wert] bis [Datum], verantwortlich [Person]</w:t>
            </w:r>
          </w:p>
        </w:tc>
      </w:tr>
      <w:tr>
        <w:trPr>
          <w:cantSplit/>
          <w:trHeight w:val="1300"/>
        </w:trPr>
        <w:tc>
          <w:tcPr>
            <w:tcW w:w="2700" w:type="dxa"/>
            <w:shd w:val="clear" w:color="auto" w:fill="EFEFEF"/>
          </w:tcPr>
          <w:p>
            <w:pPr>
              <w:spacing w:after="0"/>
            </w:pPr>
            <w:r>
              <w:rPr>
                <w:b/>
                <w:sz w:val="20"/>
              </w:rPr>
              <w:t xml:space="preserve">6. Nächste drei Schritte</w:t>
            </w:r>
          </w:p>
        </w:tc>
        <w:tc>
          <w:tcPr>
            <w:tcW w:w="6938" w:type="dxa"/>
          </w:tcPr>
          <w:p>
            <w:pPr>
              <w:spacing w:after="0"/>
            </w:pPr>
            <w:r>
              <w:rPr>
                <w:sz w:val="19"/>
              </w:rPr>
              <w:t xml:space="preserve">1. [wer] – [was] – bis [Datum]</w:t>
            </w:r>
            <w:r>
              <w:br/>
            </w:r>
            <w:r>
              <w:rPr>
                <w:sz w:val="19"/>
              </w:rPr>
              <w:t xml:space="preserve">2. [wer] – [was] – bis [Datum]</w:t>
            </w:r>
            <w:r>
              <w:br/>
            </w:r>
            <w:r>
              <w:rPr>
                <w:sz w:val="19"/>
              </w:rPr>
              <w:t xml:space="preserve">3. [wer] – [was] – bis [Datum]</w:t>
            </w:r>
          </w:p>
        </w:tc>
      </w:tr>
    </w:tbl>
    <w:p/>
    <w:p>
      <w:pPr>
        <w:spacing w:after="120" w:line="276" w:lineRule="auto"/>
      </w:pPr>
      <w:r>
        <w:rPr>
          <w:i/>
          <w:sz w:val="18"/>
          <w:color w:val="555555"/>
        </w:rPr>
        <w:t xml:space="preserve">Regel: Was nicht auf diese Seite passt, ist noch nicht entschieden. Einmal im Quartal Feld 5 ansehen, einmal im Jahr alle Felder (neue BRAK-Statistik erscheint jedes Frühjahr).</w:t>
      </w:r>
    </w:p>
    <w:p>
      <w:r>
        <w:br w:type="page"/>
      </w:r>
    </w:p>
    <w:p>
      <w:pPr>
        <w:keepNext/>
        <w:spacing w:before="120" w:after="120"/>
      </w:pPr>
      <w:r>
        <w:rPr>
          <w:b/>
          <w:sz w:val="24"/>
        </w:rPr>
        <w:t xml:space="preserve">Blatt 2: Markt in Zahlen – wie dicht ist Ihr Rechtsgebiet besetzt?</w:t>
      </w:r>
    </w:p>
    <w:p>
      <w:pPr>
        <w:spacing w:after="120" w:line="276" w:lineRule="auto"/>
      </w:pPr>
      <w:r>
        <w:rPr>
          <w:i/>
          <w:sz w:val="18"/>
          <w:color w:val="555555"/>
        </w:rPr>
        <w:t xml:space="preserve">Fachanwaltstitel und Mitglieder je Rechtsanwaltskammer: Statistiken der BRAK (brak.de, „Zahlen und Statistiken“, Stand jeweils 01.01.). Einwohner: Statistikportal der Statistischen Ämter oder Ihr Landesamt. Gezählt wird im Bundesweiten Amtlichen Anwaltsverzeichnis (Suche nach Fachgebiet und Ort). Dasselbe Blatt mit Formeln: Excel-Datei „Markt in Zahlen“ zum Beitrag.</w:t>
      </w:r>
    </w:p>
    <w:tbl>
      <w:tblPr>
        <w:tblW w:w="5000" w:type="pct"/>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Pr>
      <w:tblGrid>
        <w:gridCol w:w="700"/>
        <w:gridCol w:w="3000"/>
        <w:gridCol w:w="2000"/>
        <w:gridCol w:w="1600"/>
        <w:gridCol w:w="2338"/>
      </w:tblGrid>
      <w:tr>
        <w:trPr>
          <w:tblHeader/>
        </w:trPr>
        <w:tc>
          <w:tcPr>
            <w:tcW w:w="700" w:type="dxa"/>
            <w:shd w:val="clear" w:color="auto" w:fill="EFEFEF"/>
          </w:tcPr>
          <w:p>
            <w:pPr>
              <w:spacing w:after="0"/>
            </w:pPr>
            <w:r>
              <w:rPr>
                <w:b/>
                <w:sz w:val="18"/>
              </w:rPr>
              <w:t xml:space="preserve">Zeile</w:t>
            </w:r>
          </w:p>
        </w:tc>
        <w:tc>
          <w:tcPr>
            <w:tcW w:w="3000" w:type="dxa"/>
            <w:shd w:val="clear" w:color="auto" w:fill="EFEFEF"/>
          </w:tcPr>
          <w:p>
            <w:pPr>
              <w:spacing w:after="0"/>
            </w:pPr>
            <w:r>
              <w:rPr>
                <w:b/>
                <w:sz w:val="18"/>
              </w:rPr>
              <w:t xml:space="preserve">Größe</w:t>
            </w:r>
          </w:p>
        </w:tc>
        <w:tc>
          <w:tcPr>
            <w:tcW w:w="2000" w:type="dxa"/>
            <w:shd w:val="clear" w:color="auto" w:fill="EFEFEF"/>
          </w:tcPr>
          <w:p>
            <w:pPr>
              <w:spacing w:after="0"/>
            </w:pPr>
            <w:r>
              <w:rPr>
                <w:b/>
                <w:sz w:val="18"/>
              </w:rPr>
              <w:t xml:space="preserve">Rechenweg</w:t>
            </w:r>
          </w:p>
        </w:tc>
        <w:tc>
          <w:tcPr>
            <w:tcW w:w="1600" w:type="dxa"/>
            <w:shd w:val="clear" w:color="auto" w:fill="EFEFEF"/>
          </w:tcPr>
          <w:p>
            <w:pPr>
              <w:spacing w:after="0"/>
            </w:pPr>
            <w:r>
              <w:rPr>
                <w:b/>
                <w:sz w:val="18"/>
              </w:rPr>
              <w:t xml:space="preserve">Ihr Wert</w:t>
            </w:r>
          </w:p>
        </w:tc>
        <w:tc>
          <w:tcPr>
            <w:tcW w:w="2338" w:type="dxa"/>
            <w:shd w:val="clear" w:color="auto" w:fill="EFEFEF"/>
          </w:tcPr>
          <w:p>
            <w:pPr>
              <w:spacing w:after="0"/>
            </w:pPr>
            <w:r>
              <w:rPr>
                <w:b/>
                <w:sz w:val="18"/>
              </w:rPr>
              <w:t xml:space="preserve">Vergleich Bund</w:t>
            </w:r>
          </w:p>
        </w:tc>
      </w:tr>
      <w:tr>
        <w:trPr>
          <w:trHeight w:val="400"/>
        </w:trPr>
        <w:tc>
          <w:tcPr>
            <w:tcW w:w="700" w:type="dxa"/>
          </w:tcPr>
          <w:p>
            <w:pPr>
              <w:spacing w:after="0"/>
            </w:pPr>
            <w:r>
              <w:rPr>
                <w:sz w:val="18"/>
              </w:rPr>
              <w:t xml:space="preserve">A</w:t>
            </w:r>
          </w:p>
        </w:tc>
        <w:tc>
          <w:tcPr>
            <w:tcW w:w="3000" w:type="dxa"/>
          </w:tcPr>
          <w:p>
            <w:pPr>
              <w:spacing w:after="0"/>
            </w:pPr>
            <w:r>
              <w:rPr>
                <w:sz w:val="18"/>
              </w:rPr>
              <w:t xml:space="preserve">Einwohner im Kammerbezirk</w:t>
            </w:r>
          </w:p>
        </w:tc>
        <w:tc>
          <w:tcPr>
            <w:tcW w:w="2000" w:type="dxa"/>
          </w:tcPr>
          <w:p>
            <w:pPr>
              <w:spacing w:after="0"/>
            </w:pPr>
            <w:r>
              <w:rPr>
                <w:sz w:val="18"/>
              </w:rPr>
              <w:t xml:space="preserve">Statistik</w:t>
            </w:r>
          </w:p>
        </w:tc>
        <w:tc>
          <w:tcPr>
            <w:tcW w:w="1600" w:type="dxa"/>
          </w:tcPr>
          <w:p>
            <w:pPr>
              <w:spacing w:after="0"/>
            </w:pPr>
            <w:r>
              <w:rPr>
                <w:sz w:val="18"/>
              </w:rPr>
              <w:t xml:space="preserve"/>
            </w:r>
          </w:p>
        </w:tc>
        <w:tc>
          <w:tcPr>
            <w:tcW w:w="2338" w:type="dxa"/>
          </w:tcPr>
          <w:p>
            <w:pPr>
              <w:spacing w:after="0"/>
            </w:pPr>
            <w:r>
              <w:rPr>
                <w:sz w:val="18"/>
              </w:rPr>
              <w:t xml:space="preserve">83.467.117</w:t>
            </w:r>
          </w:p>
        </w:tc>
      </w:tr>
      <w:tr>
        <w:trPr>
          <w:trHeight w:val="400"/>
        </w:trPr>
        <w:tc>
          <w:tcPr>
            <w:tcW w:w="700" w:type="dxa"/>
          </w:tcPr>
          <w:p>
            <w:pPr>
              <w:spacing w:after="0"/>
            </w:pPr>
            <w:r>
              <w:rPr>
                <w:sz w:val="18"/>
              </w:rPr>
              <w:t xml:space="preserve">B</w:t>
            </w:r>
          </w:p>
        </w:tc>
        <w:tc>
          <w:tcPr>
            <w:tcW w:w="3000" w:type="dxa"/>
          </w:tcPr>
          <w:p>
            <w:pPr>
              <w:spacing w:after="0"/>
            </w:pPr>
            <w:r>
              <w:rPr>
                <w:sz w:val="18"/>
              </w:rPr>
              <w:t xml:space="preserve">Fachanwaltstitel des Gebiets im Kammerbezirk</w:t>
            </w:r>
          </w:p>
        </w:tc>
        <w:tc>
          <w:tcPr>
            <w:tcW w:w="2000" w:type="dxa"/>
          </w:tcPr>
          <w:p>
            <w:pPr>
              <w:spacing w:after="0"/>
            </w:pPr>
            <w:r>
              <w:rPr>
                <w:sz w:val="18"/>
              </w:rPr>
              <w:t xml:space="preserve">BRAK-Statistik</w:t>
            </w:r>
          </w:p>
        </w:tc>
        <w:tc>
          <w:tcPr>
            <w:tcW w:w="1600" w:type="dxa"/>
          </w:tcPr>
          <w:p>
            <w:pPr>
              <w:spacing w:after="0"/>
            </w:pPr>
            <w:r>
              <w:rPr>
                <w:sz w:val="18"/>
              </w:rPr>
              <w:t xml:space="preserve"/>
            </w:r>
          </w:p>
        </w:tc>
        <w:tc>
          <w:tcPr>
            <w:tcW w:w="2338" w:type="dxa"/>
          </w:tcPr>
          <w:p>
            <w:pPr>
              <w:spacing w:after="0"/>
            </w:pPr>
            <w:r>
              <w:rPr>
                <w:sz w:val="18"/>
              </w:rPr>
              <w:t xml:space="preserve">Erbrecht 2.452 · Familienrecht 8.314</w:t>
            </w:r>
          </w:p>
        </w:tc>
      </w:tr>
      <w:tr>
        <w:trPr>
          <w:trHeight w:val="400"/>
        </w:trPr>
        <w:tc>
          <w:tcPr>
            <w:tcW w:w="700" w:type="dxa"/>
          </w:tcPr>
          <w:p>
            <w:pPr>
              <w:spacing w:after="0"/>
            </w:pPr>
            <w:r>
              <w:rPr>
                <w:sz w:val="18"/>
              </w:rPr>
              <w:t xml:space="preserve">C</w:t>
            </w:r>
          </w:p>
        </w:tc>
        <w:tc>
          <w:tcPr>
            <w:tcW w:w="3000" w:type="dxa"/>
          </w:tcPr>
          <w:p>
            <w:pPr>
              <w:spacing w:after="0"/>
            </w:pPr>
            <w:r>
              <w:rPr>
                <w:sz w:val="18"/>
              </w:rPr>
              <w:t xml:space="preserve">Dichte je 10.000 Einwohner</w:t>
            </w:r>
          </w:p>
        </w:tc>
        <w:tc>
          <w:tcPr>
            <w:tcW w:w="2000" w:type="dxa"/>
          </w:tcPr>
          <w:p>
            <w:pPr>
              <w:spacing w:after="0"/>
            </w:pPr>
            <w:r>
              <w:rPr>
                <w:sz w:val="18"/>
              </w:rPr>
              <w:t xml:space="preserve">B ÷ A × 10.000</w:t>
            </w:r>
          </w:p>
        </w:tc>
        <w:tc>
          <w:tcPr>
            <w:tcW w:w="1600" w:type="dxa"/>
          </w:tcPr>
          <w:p>
            <w:pPr>
              <w:spacing w:after="0"/>
            </w:pPr>
            <w:r>
              <w:rPr>
                <w:sz w:val="18"/>
              </w:rPr>
              <w:t xml:space="preserve"/>
            </w:r>
          </w:p>
        </w:tc>
        <w:tc>
          <w:tcPr>
            <w:tcW w:w="2338" w:type="dxa"/>
          </w:tcPr>
          <w:p>
            <w:pPr>
              <w:spacing w:after="0"/>
            </w:pPr>
            <w:r>
              <w:rPr>
                <w:sz w:val="18"/>
              </w:rPr>
              <w:t xml:space="preserve">Erbrecht 0,29 · Familienrecht 1,00</w:t>
            </w:r>
          </w:p>
        </w:tc>
      </w:tr>
      <w:tr>
        <w:trPr>
          <w:trHeight w:val="400"/>
        </w:trPr>
        <w:tc>
          <w:tcPr>
            <w:tcW w:w="700" w:type="dxa"/>
          </w:tcPr>
          <w:p>
            <w:pPr>
              <w:spacing w:after="0"/>
            </w:pPr>
            <w:r>
              <w:rPr>
                <w:sz w:val="18"/>
              </w:rPr>
              <w:t xml:space="preserve">D</w:t>
            </w:r>
          </w:p>
        </w:tc>
        <w:tc>
          <w:tcPr>
            <w:tcW w:w="3000" w:type="dxa"/>
          </w:tcPr>
          <w:p>
            <w:pPr>
              <w:spacing w:after="0"/>
            </w:pPr>
            <w:r>
              <w:rPr>
                <w:sz w:val="18"/>
              </w:rPr>
              <w:t xml:space="preserve">Einwohner im Einzugsgebiet (Annahme)</w:t>
            </w:r>
          </w:p>
        </w:tc>
        <w:tc>
          <w:tcPr>
            <w:tcW w:w="2000" w:type="dxa"/>
          </w:tcPr>
          <w:p>
            <w:pPr>
              <w:spacing w:after="0"/>
            </w:pPr>
            <w:r>
              <w:rPr>
                <w:sz w:val="18"/>
              </w:rPr>
              <w:t xml:space="preserve">Kreis, Stadt und Umland</w:t>
            </w:r>
          </w:p>
        </w:tc>
        <w:tc>
          <w:tcPr>
            <w:tcW w:w="1600" w:type="dxa"/>
          </w:tcPr>
          <w:p>
            <w:pPr>
              <w:spacing w:after="0"/>
            </w:pPr>
            <w:r>
              <w:rPr>
                <w:sz w:val="18"/>
              </w:rPr>
              <w:t xml:space="preserve"/>
            </w:r>
          </w:p>
        </w:tc>
        <w:tc>
          <w:tcPr>
            <w:tcW w:w="2338" w:type="dxa"/>
          </w:tcPr>
          <w:p>
            <w:pPr>
              <w:spacing w:after="0"/>
            </w:pPr>
            <w:r>
              <w:rPr>
                <w:sz w:val="18"/>
              </w:rPr>
              <w:t xml:space="preserve">–</w:t>
            </w:r>
          </w:p>
        </w:tc>
      </w:tr>
      <w:tr>
        <w:trPr>
          <w:trHeight w:val="400"/>
        </w:trPr>
        <w:tc>
          <w:tcPr>
            <w:tcW w:w="700" w:type="dxa"/>
          </w:tcPr>
          <w:p>
            <w:pPr>
              <w:spacing w:after="0"/>
            </w:pPr>
            <w:r>
              <w:rPr>
                <w:sz w:val="18"/>
              </w:rPr>
              <w:t xml:space="preserve">E</w:t>
            </w:r>
          </w:p>
        </w:tc>
        <w:tc>
          <w:tcPr>
            <w:tcW w:w="3000" w:type="dxa"/>
          </w:tcPr>
          <w:p>
            <w:pPr>
              <w:spacing w:after="0"/>
            </w:pPr>
            <w:r>
              <w:rPr>
                <w:sz w:val="18"/>
              </w:rPr>
              <w:t xml:space="preserve">erwartete Titel im Einzugsgebiet</w:t>
            </w:r>
          </w:p>
        </w:tc>
        <w:tc>
          <w:tcPr>
            <w:tcW w:w="2000" w:type="dxa"/>
          </w:tcPr>
          <w:p>
            <w:pPr>
              <w:spacing w:after="0"/>
            </w:pPr>
            <w:r>
              <w:rPr>
                <w:sz w:val="18"/>
              </w:rPr>
              <w:t xml:space="preserve">C × D ÷ 10.000</w:t>
            </w:r>
          </w:p>
        </w:tc>
        <w:tc>
          <w:tcPr>
            <w:tcW w:w="1600" w:type="dxa"/>
          </w:tcPr>
          <w:p>
            <w:pPr>
              <w:spacing w:after="0"/>
            </w:pPr>
            <w:r>
              <w:rPr>
                <w:sz w:val="18"/>
              </w:rPr>
              <w:t xml:space="preserve"/>
            </w:r>
          </w:p>
        </w:tc>
        <w:tc>
          <w:tcPr>
            <w:tcW w:w="2338" w:type="dxa"/>
          </w:tcPr>
          <w:p>
            <w:pPr>
              <w:spacing w:after="0"/>
            </w:pPr>
            <w:r>
              <w:rPr>
                <w:sz w:val="18"/>
              </w:rPr>
              <w:t xml:space="preserve">–</w:t>
            </w:r>
          </w:p>
        </w:tc>
      </w:tr>
      <w:tr>
        <w:trPr>
          <w:trHeight w:val="400"/>
        </w:trPr>
        <w:tc>
          <w:tcPr>
            <w:tcW w:w="700" w:type="dxa"/>
          </w:tcPr>
          <w:p>
            <w:pPr>
              <w:spacing w:after="0"/>
            </w:pPr>
            <w:r>
              <w:rPr>
                <w:sz w:val="18"/>
              </w:rPr>
              <w:t xml:space="preserve">F</w:t>
            </w:r>
          </w:p>
        </w:tc>
        <w:tc>
          <w:tcPr>
            <w:tcW w:w="3000" w:type="dxa"/>
          </w:tcPr>
          <w:p>
            <w:pPr>
              <w:spacing w:after="0"/>
            </w:pPr>
            <w:r>
              <w:rPr>
                <w:sz w:val="18"/>
              </w:rPr>
              <w:t xml:space="preserve">gezählte Titel im Einzugsgebiet</w:t>
            </w:r>
          </w:p>
        </w:tc>
        <w:tc>
          <w:tcPr>
            <w:tcW w:w="2000" w:type="dxa"/>
          </w:tcPr>
          <w:p>
            <w:pPr>
              <w:spacing w:after="0"/>
            </w:pPr>
            <w:r>
              <w:rPr>
                <w:sz w:val="18"/>
              </w:rPr>
              <w:t xml:space="preserve">Anwaltsverzeichnis</w:t>
            </w:r>
          </w:p>
        </w:tc>
        <w:tc>
          <w:tcPr>
            <w:tcW w:w="1600" w:type="dxa"/>
          </w:tcPr>
          <w:p>
            <w:pPr>
              <w:spacing w:after="0"/>
            </w:pPr>
            <w:r>
              <w:rPr>
                <w:sz w:val="18"/>
              </w:rPr>
              <w:t xml:space="preserve"/>
            </w:r>
          </w:p>
        </w:tc>
        <w:tc>
          <w:tcPr>
            <w:tcW w:w="2338" w:type="dxa"/>
          </w:tcPr>
          <w:p>
            <w:pPr>
              <w:spacing w:after="0"/>
            </w:pPr>
            <w:r>
              <w:rPr>
                <w:sz w:val="18"/>
              </w:rPr>
              <w:t xml:space="preserve">–</w:t>
            </w:r>
          </w:p>
        </w:tc>
      </w:tr>
      <w:tr>
        <w:trPr>
          <w:trHeight w:val="400"/>
        </w:trPr>
        <w:tc>
          <w:tcPr>
            <w:tcW w:w="700" w:type="dxa"/>
          </w:tcPr>
          <w:p>
            <w:pPr>
              <w:spacing w:after="0"/>
            </w:pPr>
            <w:r>
              <w:rPr>
                <w:sz w:val="18"/>
              </w:rPr>
              <w:t xml:space="preserve">G</w:t>
            </w:r>
          </w:p>
        </w:tc>
        <w:tc>
          <w:tcPr>
            <w:tcW w:w="3000" w:type="dxa"/>
          </w:tcPr>
          <w:p>
            <w:pPr>
              <w:spacing w:after="0"/>
            </w:pPr>
            <w:r>
              <w:rPr>
                <w:sz w:val="18"/>
              </w:rPr>
              <w:t xml:space="preserve">Lücke</w:t>
            </w:r>
          </w:p>
        </w:tc>
        <w:tc>
          <w:tcPr>
            <w:tcW w:w="2000" w:type="dxa"/>
          </w:tcPr>
          <w:p>
            <w:pPr>
              <w:spacing w:after="0"/>
            </w:pPr>
            <w:r>
              <w:rPr>
                <w:sz w:val="18"/>
              </w:rPr>
              <w:t xml:space="preserve">E − F</w:t>
            </w:r>
          </w:p>
        </w:tc>
        <w:tc>
          <w:tcPr>
            <w:tcW w:w="1600" w:type="dxa"/>
          </w:tcPr>
          <w:p>
            <w:pPr>
              <w:spacing w:after="0"/>
            </w:pPr>
            <w:r>
              <w:rPr>
                <w:sz w:val="18"/>
              </w:rPr>
              <w:t xml:space="preserve"/>
            </w:r>
          </w:p>
        </w:tc>
        <w:tc>
          <w:tcPr>
            <w:tcW w:w="2338" w:type="dxa"/>
          </w:tcPr>
          <w:p>
            <w:pPr>
              <w:spacing w:after="0"/>
            </w:pPr>
            <w:r>
              <w:rPr>
                <w:sz w:val="18"/>
              </w:rPr>
              <w:t xml:space="preserve">–</w:t>
            </w:r>
          </w:p>
        </w:tc>
      </w:tr>
      <w:tr>
        <w:trPr>
          <w:trHeight w:val="400"/>
        </w:trPr>
        <w:tc>
          <w:tcPr>
            <w:tcW w:w="700" w:type="dxa"/>
          </w:tcPr>
          <w:p>
            <w:pPr>
              <w:spacing w:after="0"/>
            </w:pPr>
            <w:r>
              <w:rPr>
                <w:sz w:val="18"/>
              </w:rPr>
              <w:t xml:space="preserve">H</w:t>
            </w:r>
          </w:p>
        </w:tc>
        <w:tc>
          <w:tcPr>
            <w:tcW w:w="3000" w:type="dxa"/>
          </w:tcPr>
          <w:p>
            <w:pPr>
              <w:spacing w:after="0"/>
            </w:pPr>
            <w:r>
              <w:rPr>
                <w:sz w:val="18"/>
              </w:rPr>
              <w:t xml:space="preserve">Nachfragegröße im Einzugsgebiet (z. B. Sterbefälle, Scheidungen)</w:t>
            </w:r>
          </w:p>
        </w:tc>
        <w:tc>
          <w:tcPr>
            <w:tcW w:w="2000" w:type="dxa"/>
          </w:tcPr>
          <w:p>
            <w:pPr>
              <w:spacing w:after="0"/>
            </w:pPr>
            <w:r>
              <w:rPr>
                <w:sz w:val="18"/>
              </w:rPr>
              <w:t xml:space="preserve">Bundesquote × D</w:t>
            </w:r>
          </w:p>
        </w:tc>
        <w:tc>
          <w:tcPr>
            <w:tcW w:w="1600" w:type="dxa"/>
          </w:tcPr>
          <w:p>
            <w:pPr>
              <w:spacing w:after="0"/>
            </w:pPr>
            <w:r>
              <w:rPr>
                <w:sz w:val="18"/>
              </w:rPr>
              <w:t xml:space="preserve"/>
            </w:r>
          </w:p>
        </w:tc>
        <w:tc>
          <w:tcPr>
            <w:tcW w:w="2338" w:type="dxa"/>
          </w:tcPr>
          <w:p>
            <w:pPr>
              <w:spacing w:after="0"/>
            </w:pPr>
            <w:r>
              <w:rPr>
                <w:sz w:val="18"/>
              </w:rPr>
              <w:t xml:space="preserve">Sterbefälle rund 1,01 Mio. · Scheidungen 130.100 (2025)</w:t>
            </w:r>
          </w:p>
        </w:tc>
      </w:tr>
      <w:tr>
        <w:trPr>
          <w:trHeight w:val="400"/>
        </w:trPr>
        <w:tc>
          <w:tcPr>
            <w:tcW w:w="700" w:type="dxa"/>
          </w:tcPr>
          <w:p>
            <w:pPr>
              <w:spacing w:after="0"/>
            </w:pPr>
            <w:r>
              <w:rPr>
                <w:sz w:val="18"/>
              </w:rPr>
              <w:t xml:space="preserve">I</w:t>
            </w:r>
          </w:p>
        </w:tc>
        <w:tc>
          <w:tcPr>
            <w:tcW w:w="3000" w:type="dxa"/>
          </w:tcPr>
          <w:p>
            <w:pPr>
              <w:spacing w:after="0"/>
            </w:pPr>
            <w:r>
              <w:rPr>
                <w:sz w:val="18"/>
              </w:rPr>
              <w:t xml:space="preserve">Nachfrage je gezähltem Titel</w:t>
            </w:r>
          </w:p>
        </w:tc>
        <w:tc>
          <w:tcPr>
            <w:tcW w:w="2000" w:type="dxa"/>
          </w:tcPr>
          <w:p>
            <w:pPr>
              <w:spacing w:after="0"/>
            </w:pPr>
            <w:r>
              <w:rPr>
                <w:sz w:val="18"/>
              </w:rPr>
              <w:t xml:space="preserve">H ÷ F</w:t>
            </w:r>
          </w:p>
        </w:tc>
        <w:tc>
          <w:tcPr>
            <w:tcW w:w="1600" w:type="dxa"/>
          </w:tcPr>
          <w:p>
            <w:pPr>
              <w:spacing w:after="0"/>
            </w:pPr>
            <w:r>
              <w:rPr>
                <w:sz w:val="18"/>
              </w:rPr>
              <w:t xml:space="preserve"/>
            </w:r>
          </w:p>
        </w:tc>
        <w:tc>
          <w:tcPr>
            <w:tcW w:w="2338" w:type="dxa"/>
          </w:tcPr>
          <w:p>
            <w:pPr>
              <w:spacing w:after="0"/>
            </w:pPr>
            <w:r>
              <w:rPr>
                <w:sz w:val="18"/>
              </w:rPr>
              <w:t xml:space="preserve">Erbrecht 412 · Familienrecht 15,6</w:t>
            </w:r>
          </w:p>
        </w:tc>
      </w:tr>
    </w:tbl>
    <w:p/>
    <w:p>
      <w:pPr>
        <w:spacing w:after="120" w:line="276" w:lineRule="auto"/>
      </w:pPr>
      <w:r>
        <w:rPr>
          <w:i/>
          <w:sz w:val="18"/>
          <w:color w:val="555555"/>
        </w:rPr>
        <w:t xml:space="preserve">Lesart: Liegt F deutlich unter E und I deutlich über dem Bundeswert, ist das Gebiet vor Ort dünn mit Fachanwälten besetzt. Grenzen: Ein Titel ist keine Person (bis zu drei Titel je Anwalt), viele bearbeiten ein Gebiet ohne Titel, und nicht jeder Sterbefall oder jede Scheidung wird ein Mandat. Die Rechnung zeigt eine Richtung, keinen Marktanteil.</w:t>
      </w:r>
    </w:p>
    <w:p>
      <w:r>
        <w:br w:type="page"/>
      </w:r>
    </w:p>
    <w:p>
      <w:pPr>
        <w:keepNext/>
        <w:spacing w:before="120" w:after="120"/>
      </w:pPr>
      <w:r>
        <w:rPr>
          <w:b/>
          <w:sz w:val="24"/>
        </w:rPr>
        <w:t xml:space="preserve">Blatt 3: Wettbewerb nach acht Kriterien (nur öffentliche Angaben)</w:t>
      </w:r>
    </w:p>
    <w:p>
      <w:pPr>
        <w:spacing w:after="120" w:line="276" w:lineRule="auto"/>
      </w:pPr>
      <w:r>
        <w:rPr>
          <w:i/>
          <w:sz w:val="18"/>
          <w:color w:val="555555"/>
        </w:rPr>
        <w:t xml:space="preserve">Drei bis fünf Kanzleien im Einzugsgebiet, die dieselben Mandanten ansprechen. Nur Angaben aus Anwaltsverzeichnis, Websites, Kanzleischild und öffentlichen Bewertungen; keine Scheinanfragen. Nur für den internen Gebrauch.</w:t>
      </w:r>
    </w:p>
    <w:tbl>
      <w:tblPr>
        <w:tblW w:w="5000" w:type="pct"/>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Pr>
      <w:tblGrid>
        <w:gridCol w:w="2400"/>
        <w:gridCol w:w="1500"/>
        <w:gridCol w:w="900"/>
        <w:gridCol w:w="1000"/>
        <w:gridCol w:w="1000"/>
        <w:gridCol w:w="1000"/>
        <w:gridCol w:w="1838"/>
      </w:tblGrid>
      <w:tr>
        <w:trPr>
          <w:tblHeader/>
        </w:trPr>
        <w:tc>
          <w:tcPr>
            <w:tcW w:w="2400" w:type="dxa"/>
            <w:shd w:val="clear" w:color="auto" w:fill="EFEFEF"/>
          </w:tcPr>
          <w:p>
            <w:pPr>
              <w:spacing w:after="0"/>
            </w:pPr>
            <w:r>
              <w:rPr>
                <w:b/>
                <w:sz w:val="18"/>
              </w:rPr>
              <w:t xml:space="preserve">Kriterium</w:t>
            </w:r>
          </w:p>
        </w:tc>
        <w:tc>
          <w:tcPr>
            <w:tcW w:w="1500" w:type="dxa"/>
            <w:shd w:val="clear" w:color="auto" w:fill="EFEFEF"/>
          </w:tcPr>
          <w:p>
            <w:pPr>
              <w:spacing w:after="0"/>
            </w:pPr>
            <w:r>
              <w:rPr>
                <w:b/>
                <w:sz w:val="18"/>
              </w:rPr>
              <w:t xml:space="preserve">wo nachsehen</w:t>
            </w:r>
          </w:p>
        </w:tc>
        <w:tc>
          <w:tcPr>
            <w:tcW w:w="900" w:type="dxa"/>
            <w:shd w:val="clear" w:color="auto" w:fill="EFEFEF"/>
          </w:tcPr>
          <w:p>
            <w:pPr>
              <w:spacing w:after="0"/>
            </w:pPr>
            <w:r>
              <w:rPr>
                <w:b/>
                <w:sz w:val="18"/>
              </w:rPr>
              <w:t xml:space="preserve">wir</w:t>
            </w:r>
          </w:p>
        </w:tc>
        <w:tc>
          <w:tcPr>
            <w:tcW w:w="1000" w:type="dxa"/>
            <w:shd w:val="clear" w:color="auto" w:fill="EFEFEF"/>
          </w:tcPr>
          <w:p>
            <w:pPr>
              <w:spacing w:after="0"/>
            </w:pPr>
            <w:r>
              <w:rPr>
                <w:b/>
                <w:sz w:val="18"/>
              </w:rPr>
              <w:t xml:space="preserve">Kanzlei A</w:t>
            </w:r>
          </w:p>
        </w:tc>
        <w:tc>
          <w:tcPr>
            <w:tcW w:w="1000" w:type="dxa"/>
            <w:shd w:val="clear" w:color="auto" w:fill="EFEFEF"/>
          </w:tcPr>
          <w:p>
            <w:pPr>
              <w:spacing w:after="0"/>
            </w:pPr>
            <w:r>
              <w:rPr>
                <w:b/>
                <w:sz w:val="18"/>
              </w:rPr>
              <w:t xml:space="preserve">Kanzlei B</w:t>
            </w:r>
          </w:p>
        </w:tc>
        <w:tc>
          <w:tcPr>
            <w:tcW w:w="1000" w:type="dxa"/>
            <w:shd w:val="clear" w:color="auto" w:fill="EFEFEF"/>
          </w:tcPr>
          <w:p>
            <w:pPr>
              <w:spacing w:after="0"/>
            </w:pPr>
            <w:r>
              <w:rPr>
                <w:b/>
                <w:sz w:val="18"/>
              </w:rPr>
              <w:t xml:space="preserve">Kanzlei C</w:t>
            </w:r>
          </w:p>
        </w:tc>
        <w:tc>
          <w:tcPr>
            <w:tcW w:w="1838" w:type="dxa"/>
            <w:shd w:val="clear" w:color="auto" w:fill="EFEFEF"/>
          </w:tcPr>
          <w:p>
            <w:pPr>
              <w:spacing w:after="0"/>
            </w:pPr>
            <w:r>
              <w:rPr>
                <w:b/>
                <w:sz w:val="18"/>
              </w:rPr>
              <w:t xml:space="preserve">Lücke für uns?</w:t>
            </w:r>
          </w:p>
        </w:tc>
      </w:tr>
      <w:tr>
        <w:trPr>
          <w:trHeight w:val="400"/>
        </w:trPr>
        <w:tc>
          <w:tcPr>
            <w:tcW w:w="2400" w:type="dxa"/>
          </w:tcPr>
          <w:p>
            <w:pPr>
              <w:spacing w:after="0"/>
            </w:pPr>
            <w:r>
              <w:rPr>
                <w:sz w:val="18"/>
              </w:rPr>
              <w:t xml:space="preserve">1 Fachanwaltstitel im Gebiet</w:t>
            </w:r>
          </w:p>
        </w:tc>
        <w:tc>
          <w:tcPr>
            <w:tcW w:w="1500" w:type="dxa"/>
          </w:tcPr>
          <w:p>
            <w:pPr>
              <w:spacing w:after="0"/>
            </w:pPr>
            <w:r>
              <w:rPr>
                <w:sz w:val="18"/>
              </w:rPr>
              <w:t xml:space="preserve">Anwaltsverzeichnis</w:t>
            </w:r>
          </w:p>
        </w:tc>
        <w:tc>
          <w:tcPr>
            <w:tcW w:w="900" w:type="dxa"/>
          </w:tcPr>
          <w:p>
            <w:pPr>
              <w:spacing w:after="0"/>
            </w:pPr>
            <w:r>
              <w:rPr>
                <w:sz w:val="18"/>
              </w:rPr>
              <w:t xml:space="preserve"/>
            </w:r>
          </w:p>
        </w:tc>
        <w:tc>
          <w:tcPr>
            <w:tcW w:w="1000" w:type="dxa"/>
          </w:tcPr>
          <w:p>
            <w:pPr>
              <w:spacing w:after="0"/>
            </w:pPr>
            <w:r>
              <w:rPr>
                <w:sz w:val="18"/>
              </w:rPr>
              <w:t xml:space="preserve"/>
            </w:r>
          </w:p>
        </w:tc>
        <w:tc>
          <w:tcPr>
            <w:tcW w:w="1000" w:type="dxa"/>
          </w:tcPr>
          <w:p>
            <w:pPr>
              <w:spacing w:after="0"/>
            </w:pPr>
            <w:r>
              <w:rPr>
                <w:sz w:val="18"/>
              </w:rPr>
              <w:t xml:space="preserve"/>
            </w:r>
          </w:p>
        </w:tc>
        <w:tc>
          <w:tcPr>
            <w:tcW w:w="1000" w:type="dxa"/>
          </w:tcPr>
          <w:p>
            <w:pPr>
              <w:spacing w:after="0"/>
            </w:pPr>
            <w:r>
              <w:rPr>
                <w:sz w:val="18"/>
              </w:rPr>
              <w:t xml:space="preserve"/>
            </w:r>
          </w:p>
        </w:tc>
        <w:tc>
          <w:tcPr>
            <w:tcW w:w="1838" w:type="dxa"/>
          </w:tcPr>
          <w:p>
            <w:pPr>
              <w:spacing w:after="0"/>
            </w:pPr>
            <w:r>
              <w:rPr>
                <w:sz w:val="18"/>
              </w:rPr>
              <w:t xml:space="preserve"/>
            </w:r>
          </w:p>
        </w:tc>
      </w:tr>
      <w:tr>
        <w:trPr>
          <w:trHeight w:val="400"/>
        </w:trPr>
        <w:tc>
          <w:tcPr>
            <w:tcW w:w="2400" w:type="dxa"/>
          </w:tcPr>
          <w:p>
            <w:pPr>
              <w:spacing w:after="0"/>
            </w:pPr>
            <w:r>
              <w:rPr>
                <w:sz w:val="18"/>
              </w:rPr>
              <w:t xml:space="preserve">2 Berufsträger</w:t>
            </w:r>
          </w:p>
        </w:tc>
        <w:tc>
          <w:tcPr>
            <w:tcW w:w="1500" w:type="dxa"/>
          </w:tcPr>
          <w:p>
            <w:pPr>
              <w:spacing w:after="0"/>
            </w:pPr>
            <w:r>
              <w:rPr>
                <w:sz w:val="18"/>
              </w:rPr>
              <w:t xml:space="preserve">Website, Verzeichnis</w:t>
            </w:r>
          </w:p>
        </w:tc>
        <w:tc>
          <w:tcPr>
            <w:tcW w:w="900" w:type="dxa"/>
          </w:tcPr>
          <w:p>
            <w:pPr>
              <w:spacing w:after="0"/>
            </w:pPr>
            <w:r>
              <w:rPr>
                <w:sz w:val="18"/>
              </w:rPr>
              <w:t xml:space="preserve"/>
            </w:r>
          </w:p>
        </w:tc>
        <w:tc>
          <w:tcPr>
            <w:tcW w:w="1000" w:type="dxa"/>
          </w:tcPr>
          <w:p>
            <w:pPr>
              <w:spacing w:after="0"/>
            </w:pPr>
            <w:r>
              <w:rPr>
                <w:sz w:val="18"/>
              </w:rPr>
              <w:t xml:space="preserve"/>
            </w:r>
          </w:p>
        </w:tc>
        <w:tc>
          <w:tcPr>
            <w:tcW w:w="1000" w:type="dxa"/>
          </w:tcPr>
          <w:p>
            <w:pPr>
              <w:spacing w:after="0"/>
            </w:pPr>
            <w:r>
              <w:rPr>
                <w:sz w:val="18"/>
              </w:rPr>
              <w:t xml:space="preserve"/>
            </w:r>
          </w:p>
        </w:tc>
        <w:tc>
          <w:tcPr>
            <w:tcW w:w="1000" w:type="dxa"/>
          </w:tcPr>
          <w:p>
            <w:pPr>
              <w:spacing w:after="0"/>
            </w:pPr>
            <w:r>
              <w:rPr>
                <w:sz w:val="18"/>
              </w:rPr>
              <w:t xml:space="preserve"/>
            </w:r>
          </w:p>
        </w:tc>
        <w:tc>
          <w:tcPr>
            <w:tcW w:w="1838" w:type="dxa"/>
          </w:tcPr>
          <w:p>
            <w:pPr>
              <w:spacing w:after="0"/>
            </w:pPr>
            <w:r>
              <w:rPr>
                <w:sz w:val="18"/>
              </w:rPr>
              <w:t xml:space="preserve"/>
            </w:r>
          </w:p>
        </w:tc>
      </w:tr>
      <w:tr>
        <w:trPr>
          <w:trHeight w:val="400"/>
        </w:trPr>
        <w:tc>
          <w:tcPr>
            <w:tcW w:w="2400" w:type="dxa"/>
          </w:tcPr>
          <w:p>
            <w:pPr>
              <w:spacing w:after="0"/>
            </w:pPr>
            <w:r>
              <w:rPr>
                <w:sz w:val="18"/>
              </w:rPr>
              <w:t xml:space="preserve">3 Leistungen, die genannt werden</w:t>
            </w:r>
          </w:p>
        </w:tc>
        <w:tc>
          <w:tcPr>
            <w:tcW w:w="1500" w:type="dxa"/>
          </w:tcPr>
          <w:p>
            <w:pPr>
              <w:spacing w:after="0"/>
            </w:pPr>
            <w:r>
              <w:rPr>
                <w:sz w:val="18"/>
              </w:rPr>
              <w:t xml:space="preserve">Website</w:t>
            </w:r>
          </w:p>
        </w:tc>
        <w:tc>
          <w:tcPr>
            <w:tcW w:w="900" w:type="dxa"/>
          </w:tcPr>
          <w:p>
            <w:pPr>
              <w:spacing w:after="0"/>
            </w:pPr>
            <w:r>
              <w:rPr>
                <w:sz w:val="18"/>
              </w:rPr>
              <w:t xml:space="preserve"/>
            </w:r>
          </w:p>
        </w:tc>
        <w:tc>
          <w:tcPr>
            <w:tcW w:w="1000" w:type="dxa"/>
          </w:tcPr>
          <w:p>
            <w:pPr>
              <w:spacing w:after="0"/>
            </w:pPr>
            <w:r>
              <w:rPr>
                <w:sz w:val="18"/>
              </w:rPr>
              <w:t xml:space="preserve"/>
            </w:r>
          </w:p>
        </w:tc>
        <w:tc>
          <w:tcPr>
            <w:tcW w:w="1000" w:type="dxa"/>
          </w:tcPr>
          <w:p>
            <w:pPr>
              <w:spacing w:after="0"/>
            </w:pPr>
            <w:r>
              <w:rPr>
                <w:sz w:val="18"/>
              </w:rPr>
              <w:t xml:space="preserve"/>
            </w:r>
          </w:p>
        </w:tc>
        <w:tc>
          <w:tcPr>
            <w:tcW w:w="1000" w:type="dxa"/>
          </w:tcPr>
          <w:p>
            <w:pPr>
              <w:spacing w:after="0"/>
            </w:pPr>
            <w:r>
              <w:rPr>
                <w:sz w:val="18"/>
              </w:rPr>
              <w:t xml:space="preserve"/>
            </w:r>
          </w:p>
        </w:tc>
        <w:tc>
          <w:tcPr>
            <w:tcW w:w="1838" w:type="dxa"/>
          </w:tcPr>
          <w:p>
            <w:pPr>
              <w:spacing w:after="0"/>
            </w:pPr>
            <w:r>
              <w:rPr>
                <w:sz w:val="18"/>
              </w:rPr>
              <w:t xml:space="preserve"/>
            </w:r>
          </w:p>
        </w:tc>
      </w:tr>
      <w:tr>
        <w:trPr>
          <w:trHeight w:val="400"/>
        </w:trPr>
        <w:tc>
          <w:tcPr>
            <w:tcW w:w="2400" w:type="dxa"/>
          </w:tcPr>
          <w:p>
            <w:pPr>
              <w:spacing w:after="0"/>
            </w:pPr>
            <w:r>
              <w:rPr>
                <w:sz w:val="18"/>
              </w:rPr>
              <w:t xml:space="preserve">4 Preise oder Honorarmodell sichtbar</w:t>
            </w:r>
          </w:p>
        </w:tc>
        <w:tc>
          <w:tcPr>
            <w:tcW w:w="1500" w:type="dxa"/>
          </w:tcPr>
          <w:p>
            <w:pPr>
              <w:spacing w:after="0"/>
            </w:pPr>
            <w:r>
              <w:rPr>
                <w:sz w:val="18"/>
              </w:rPr>
              <w:t xml:space="preserve">Website</w:t>
            </w:r>
          </w:p>
        </w:tc>
        <w:tc>
          <w:tcPr>
            <w:tcW w:w="900" w:type="dxa"/>
          </w:tcPr>
          <w:p>
            <w:pPr>
              <w:spacing w:after="0"/>
            </w:pPr>
            <w:r>
              <w:rPr>
                <w:sz w:val="18"/>
              </w:rPr>
              <w:t xml:space="preserve"/>
            </w:r>
          </w:p>
        </w:tc>
        <w:tc>
          <w:tcPr>
            <w:tcW w:w="1000" w:type="dxa"/>
          </w:tcPr>
          <w:p>
            <w:pPr>
              <w:spacing w:after="0"/>
            </w:pPr>
            <w:r>
              <w:rPr>
                <w:sz w:val="18"/>
              </w:rPr>
              <w:t xml:space="preserve"/>
            </w:r>
          </w:p>
        </w:tc>
        <w:tc>
          <w:tcPr>
            <w:tcW w:w="1000" w:type="dxa"/>
          </w:tcPr>
          <w:p>
            <w:pPr>
              <w:spacing w:after="0"/>
            </w:pPr>
            <w:r>
              <w:rPr>
                <w:sz w:val="18"/>
              </w:rPr>
              <w:t xml:space="preserve"/>
            </w:r>
          </w:p>
        </w:tc>
        <w:tc>
          <w:tcPr>
            <w:tcW w:w="1000" w:type="dxa"/>
          </w:tcPr>
          <w:p>
            <w:pPr>
              <w:spacing w:after="0"/>
            </w:pPr>
            <w:r>
              <w:rPr>
                <w:sz w:val="18"/>
              </w:rPr>
              <w:t xml:space="preserve"/>
            </w:r>
          </w:p>
        </w:tc>
        <w:tc>
          <w:tcPr>
            <w:tcW w:w="1838" w:type="dxa"/>
          </w:tcPr>
          <w:p>
            <w:pPr>
              <w:spacing w:after="0"/>
            </w:pPr>
            <w:r>
              <w:rPr>
                <w:sz w:val="18"/>
              </w:rPr>
              <w:t xml:space="preserve"/>
            </w:r>
          </w:p>
        </w:tc>
      </w:tr>
      <w:tr>
        <w:trPr>
          <w:trHeight w:val="400"/>
        </w:trPr>
        <w:tc>
          <w:tcPr>
            <w:tcW w:w="2400" w:type="dxa"/>
          </w:tcPr>
          <w:p>
            <w:pPr>
              <w:spacing w:after="0"/>
            </w:pPr>
            <w:r>
              <w:rPr>
                <w:sz w:val="18"/>
              </w:rPr>
              <w:t xml:space="preserve">5 Erreichbarkeit (Sprechzeiten, Termin online, abends)</w:t>
            </w:r>
          </w:p>
        </w:tc>
        <w:tc>
          <w:tcPr>
            <w:tcW w:w="1500" w:type="dxa"/>
          </w:tcPr>
          <w:p>
            <w:pPr>
              <w:spacing w:after="0"/>
            </w:pPr>
            <w:r>
              <w:rPr>
                <w:sz w:val="18"/>
              </w:rPr>
              <w:t xml:space="preserve">Website, Aushang</w:t>
            </w:r>
          </w:p>
        </w:tc>
        <w:tc>
          <w:tcPr>
            <w:tcW w:w="900" w:type="dxa"/>
          </w:tcPr>
          <w:p>
            <w:pPr>
              <w:spacing w:after="0"/>
            </w:pPr>
            <w:r>
              <w:rPr>
                <w:sz w:val="18"/>
              </w:rPr>
              <w:t xml:space="preserve"/>
            </w:r>
          </w:p>
        </w:tc>
        <w:tc>
          <w:tcPr>
            <w:tcW w:w="1000" w:type="dxa"/>
          </w:tcPr>
          <w:p>
            <w:pPr>
              <w:spacing w:after="0"/>
            </w:pPr>
            <w:r>
              <w:rPr>
                <w:sz w:val="18"/>
              </w:rPr>
              <w:t xml:space="preserve"/>
            </w:r>
          </w:p>
        </w:tc>
        <w:tc>
          <w:tcPr>
            <w:tcW w:w="1000" w:type="dxa"/>
          </w:tcPr>
          <w:p>
            <w:pPr>
              <w:spacing w:after="0"/>
            </w:pPr>
            <w:r>
              <w:rPr>
                <w:sz w:val="18"/>
              </w:rPr>
              <w:t xml:space="preserve"/>
            </w:r>
          </w:p>
        </w:tc>
        <w:tc>
          <w:tcPr>
            <w:tcW w:w="1000" w:type="dxa"/>
          </w:tcPr>
          <w:p>
            <w:pPr>
              <w:spacing w:after="0"/>
            </w:pPr>
            <w:r>
              <w:rPr>
                <w:sz w:val="18"/>
              </w:rPr>
              <w:t xml:space="preserve"/>
            </w:r>
          </w:p>
        </w:tc>
        <w:tc>
          <w:tcPr>
            <w:tcW w:w="1838" w:type="dxa"/>
          </w:tcPr>
          <w:p>
            <w:pPr>
              <w:spacing w:after="0"/>
            </w:pPr>
            <w:r>
              <w:rPr>
                <w:sz w:val="18"/>
              </w:rPr>
              <w:t xml:space="preserve"/>
            </w:r>
          </w:p>
        </w:tc>
      </w:tr>
      <w:tr>
        <w:trPr>
          <w:trHeight w:val="400"/>
        </w:trPr>
        <w:tc>
          <w:tcPr>
            <w:tcW w:w="2400" w:type="dxa"/>
          </w:tcPr>
          <w:p>
            <w:pPr>
              <w:spacing w:after="0"/>
            </w:pPr>
            <w:r>
              <w:rPr>
                <w:sz w:val="18"/>
              </w:rPr>
              <w:t xml:space="preserve">6 Lage und Zugang (barrierefrei, Parken, Bus und Bahn)</w:t>
            </w:r>
          </w:p>
        </w:tc>
        <w:tc>
          <w:tcPr>
            <w:tcW w:w="1500" w:type="dxa"/>
          </w:tcPr>
          <w:p>
            <w:pPr>
              <w:spacing w:after="0"/>
            </w:pPr>
            <w:r>
              <w:rPr>
                <w:sz w:val="18"/>
              </w:rPr>
              <w:t xml:space="preserve">Ort, Website</w:t>
            </w:r>
          </w:p>
        </w:tc>
        <w:tc>
          <w:tcPr>
            <w:tcW w:w="900" w:type="dxa"/>
          </w:tcPr>
          <w:p>
            <w:pPr>
              <w:spacing w:after="0"/>
            </w:pPr>
            <w:r>
              <w:rPr>
                <w:sz w:val="18"/>
              </w:rPr>
              <w:t xml:space="preserve"/>
            </w:r>
          </w:p>
        </w:tc>
        <w:tc>
          <w:tcPr>
            <w:tcW w:w="1000" w:type="dxa"/>
          </w:tcPr>
          <w:p>
            <w:pPr>
              <w:spacing w:after="0"/>
            </w:pPr>
            <w:r>
              <w:rPr>
                <w:sz w:val="18"/>
              </w:rPr>
              <w:t xml:space="preserve"/>
            </w:r>
          </w:p>
        </w:tc>
        <w:tc>
          <w:tcPr>
            <w:tcW w:w="1000" w:type="dxa"/>
          </w:tcPr>
          <w:p>
            <w:pPr>
              <w:spacing w:after="0"/>
            </w:pPr>
            <w:r>
              <w:rPr>
                <w:sz w:val="18"/>
              </w:rPr>
              <w:t xml:space="preserve"/>
            </w:r>
          </w:p>
        </w:tc>
        <w:tc>
          <w:tcPr>
            <w:tcW w:w="1000" w:type="dxa"/>
          </w:tcPr>
          <w:p>
            <w:pPr>
              <w:spacing w:after="0"/>
            </w:pPr>
            <w:r>
              <w:rPr>
                <w:sz w:val="18"/>
              </w:rPr>
              <w:t xml:space="preserve"/>
            </w:r>
          </w:p>
        </w:tc>
        <w:tc>
          <w:tcPr>
            <w:tcW w:w="1838" w:type="dxa"/>
          </w:tcPr>
          <w:p>
            <w:pPr>
              <w:spacing w:after="0"/>
            </w:pPr>
            <w:r>
              <w:rPr>
                <w:sz w:val="18"/>
              </w:rPr>
              <w:t xml:space="preserve"/>
            </w:r>
          </w:p>
        </w:tc>
      </w:tr>
      <w:tr>
        <w:trPr>
          <w:trHeight w:val="400"/>
        </w:trPr>
        <w:tc>
          <w:tcPr>
            <w:tcW w:w="2400" w:type="dxa"/>
          </w:tcPr>
          <w:p>
            <w:pPr>
              <w:spacing w:after="0"/>
            </w:pPr>
            <w:r>
              <w:rPr>
                <w:sz w:val="18"/>
              </w:rPr>
              <w:t xml:space="preserve">7 Sprachen</w:t>
            </w:r>
          </w:p>
        </w:tc>
        <w:tc>
          <w:tcPr>
            <w:tcW w:w="1500" w:type="dxa"/>
          </w:tcPr>
          <w:p>
            <w:pPr>
              <w:spacing w:after="0"/>
            </w:pPr>
            <w:r>
              <w:rPr>
                <w:sz w:val="18"/>
              </w:rPr>
              <w:t xml:space="preserve">Website, Verzeichnis</w:t>
            </w:r>
          </w:p>
        </w:tc>
        <w:tc>
          <w:tcPr>
            <w:tcW w:w="900" w:type="dxa"/>
          </w:tcPr>
          <w:p>
            <w:pPr>
              <w:spacing w:after="0"/>
            </w:pPr>
            <w:r>
              <w:rPr>
                <w:sz w:val="18"/>
              </w:rPr>
              <w:t xml:space="preserve"/>
            </w:r>
          </w:p>
        </w:tc>
        <w:tc>
          <w:tcPr>
            <w:tcW w:w="1000" w:type="dxa"/>
          </w:tcPr>
          <w:p>
            <w:pPr>
              <w:spacing w:after="0"/>
            </w:pPr>
            <w:r>
              <w:rPr>
                <w:sz w:val="18"/>
              </w:rPr>
              <w:t xml:space="preserve"/>
            </w:r>
          </w:p>
        </w:tc>
        <w:tc>
          <w:tcPr>
            <w:tcW w:w="1000" w:type="dxa"/>
          </w:tcPr>
          <w:p>
            <w:pPr>
              <w:spacing w:after="0"/>
            </w:pPr>
            <w:r>
              <w:rPr>
                <w:sz w:val="18"/>
              </w:rPr>
              <w:t xml:space="preserve"/>
            </w:r>
          </w:p>
        </w:tc>
        <w:tc>
          <w:tcPr>
            <w:tcW w:w="1000" w:type="dxa"/>
          </w:tcPr>
          <w:p>
            <w:pPr>
              <w:spacing w:after="0"/>
            </w:pPr>
            <w:r>
              <w:rPr>
                <w:sz w:val="18"/>
              </w:rPr>
              <w:t xml:space="preserve"/>
            </w:r>
          </w:p>
        </w:tc>
        <w:tc>
          <w:tcPr>
            <w:tcW w:w="1838" w:type="dxa"/>
          </w:tcPr>
          <w:p>
            <w:pPr>
              <w:spacing w:after="0"/>
            </w:pPr>
            <w:r>
              <w:rPr>
                <w:sz w:val="18"/>
              </w:rPr>
              <w:t xml:space="preserve"/>
            </w:r>
          </w:p>
        </w:tc>
      </w:tr>
      <w:tr>
        <w:trPr>
          <w:trHeight w:val="400"/>
        </w:trPr>
        <w:tc>
          <w:tcPr>
            <w:tcW w:w="2400" w:type="dxa"/>
          </w:tcPr>
          <w:p>
            <w:pPr>
              <w:spacing w:after="0"/>
            </w:pPr>
            <w:r>
              <w:rPr>
                <w:sz w:val="18"/>
              </w:rPr>
              <w:t xml:space="preserve">8 Sichtbarkeit (Website aktuell, Bewertungen, Vorträge, Beiträge)</w:t>
            </w:r>
          </w:p>
        </w:tc>
        <w:tc>
          <w:tcPr>
            <w:tcW w:w="1500" w:type="dxa"/>
          </w:tcPr>
          <w:p>
            <w:pPr>
              <w:spacing w:after="0"/>
            </w:pPr>
            <w:r>
              <w:rPr>
                <w:sz w:val="18"/>
              </w:rPr>
              <w:t xml:space="preserve">Website, Kartendienste, Bewertungsportale, Lokalpresse</w:t>
            </w:r>
          </w:p>
        </w:tc>
        <w:tc>
          <w:tcPr>
            <w:tcW w:w="900" w:type="dxa"/>
          </w:tcPr>
          <w:p>
            <w:pPr>
              <w:spacing w:after="0"/>
            </w:pPr>
            <w:r>
              <w:rPr>
                <w:sz w:val="18"/>
              </w:rPr>
              <w:t xml:space="preserve"/>
            </w:r>
          </w:p>
        </w:tc>
        <w:tc>
          <w:tcPr>
            <w:tcW w:w="1000" w:type="dxa"/>
          </w:tcPr>
          <w:p>
            <w:pPr>
              <w:spacing w:after="0"/>
            </w:pPr>
            <w:r>
              <w:rPr>
                <w:sz w:val="18"/>
              </w:rPr>
              <w:t xml:space="preserve"/>
            </w:r>
          </w:p>
        </w:tc>
        <w:tc>
          <w:tcPr>
            <w:tcW w:w="1000" w:type="dxa"/>
          </w:tcPr>
          <w:p>
            <w:pPr>
              <w:spacing w:after="0"/>
            </w:pPr>
            <w:r>
              <w:rPr>
                <w:sz w:val="18"/>
              </w:rPr>
              <w:t xml:space="preserve"/>
            </w:r>
          </w:p>
        </w:tc>
        <w:tc>
          <w:tcPr>
            <w:tcW w:w="1000" w:type="dxa"/>
          </w:tcPr>
          <w:p>
            <w:pPr>
              <w:spacing w:after="0"/>
            </w:pPr>
            <w:r>
              <w:rPr>
                <w:sz w:val="18"/>
              </w:rPr>
              <w:t xml:space="preserve"/>
            </w:r>
          </w:p>
        </w:tc>
        <w:tc>
          <w:tcPr>
            <w:tcW w:w="1838" w:type="dxa"/>
          </w:tcPr>
          <w:p>
            <w:pPr>
              <w:spacing w:after="0"/>
            </w:pPr>
            <w:r>
              <w:rPr>
                <w:sz w:val="18"/>
              </w:rPr>
              <w:t xml:space="preserve"/>
            </w:r>
          </w:p>
        </w:tc>
      </w:tr>
    </w:tbl>
    <w:p/>
    <w:p>
      <w:pPr>
        <w:spacing w:after="120" w:line="276" w:lineRule="auto"/>
      </w:pPr>
      <w:r>
        <w:rPr>
          <w:i/>
          <w:sz w:val="18"/>
          <w:color w:val="555555"/>
        </w:rPr>
        <w:t xml:space="preserve">Tragen Sie Tatsachen ein, keine Urteile („2 Berufsträger, kein Fachanwaltstitel“, nicht „schwach“). Die Spalte „Lücke für uns?“ führt zu Feld 1 und 3 auf Blatt 1.</w:t>
      </w:r>
    </w:p>
    <w:p>
      <w:r>
        <w:br w:type="page"/>
      </w:r>
    </w:p>
    <w:p>
      <w:pPr>
        <w:keepNext/>
        <w:spacing w:before="120" w:after="120"/>
      </w:pPr>
      <w:r>
        <w:rPr>
          <w:b/>
          <w:sz w:val="24"/>
        </w:rPr>
        <w:t xml:space="preserve">Blatt 4: Leitbild prüfen (Mission, Vision und Werte)</w:t>
      </w:r>
    </w:p>
    <w:p>
      <w:pPr>
        <w:spacing w:after="120" w:line="276" w:lineRule="auto"/>
        <w:ind w:left="360" w:hanging="360"/>
      </w:pPr>
      <w:r>
        <w:rPr/>
        <w:t xml:space="preserve">☐ Austauschprobe: Setzen Sie den Namen einer Nachbarkanzlei ein. Stimmt jeder Satz dann immer noch, sagt er nichts über Ihre Kanzlei.</w:t>
      </w:r>
    </w:p>
    <w:p>
      <w:pPr>
        <w:spacing w:after="120" w:line="276" w:lineRule="auto"/>
        <w:ind w:left="360" w:hanging="360"/>
      </w:pPr>
      <w:r>
        <w:rPr/>
        <w:t xml:space="preserve">☐ Mission nennt Zielmandanten und Anliegen, nicht nur Rechtsgebiete.</w:t>
      </w:r>
    </w:p>
    <w:p>
      <w:pPr>
        <w:spacing w:after="120" w:line="276" w:lineRule="auto"/>
        <w:ind w:left="360" w:hanging="360"/>
      </w:pPr>
      <w:r>
        <w:rPr/>
        <w:t xml:space="preserve">☐ Vision beschreibt einen Zustand, den man in fünf bis zehn Jahren prüfen kann (Zahl, Titel, Größe, Ruf bei einer bestimmten Gruppe).</w:t>
      </w:r>
    </w:p>
    <w:p>
      <w:pPr>
        <w:spacing w:after="120" w:line="276" w:lineRule="auto"/>
        <w:ind w:left="360" w:hanging="360"/>
      </w:pPr>
      <w:r>
        <w:rPr/>
        <w:t xml:space="preserve">☐ Höchstens drei Werte, jeder mit einer Regel, die man an einem gewöhnlichen Dienstag beobachten kann.</w:t>
      </w:r>
    </w:p>
    <w:p>
      <w:pPr>
        <w:spacing w:after="120" w:line="276" w:lineRule="auto"/>
        <w:ind w:left="360" w:hanging="360"/>
      </w:pPr>
      <w:r>
        <w:rPr/>
        <w:t xml:space="preserve">☐ Kein Wert ist nur eine Berufspflicht (Verschwiegenheit, Unabhängigkeit, Sachlichkeit gelten ohnehin).</w:t>
      </w:r>
    </w:p>
    <w:p>
      <w:pPr>
        <w:spacing w:after="120" w:line="276" w:lineRule="auto"/>
        <w:ind w:left="360" w:hanging="360"/>
      </w:pPr>
      <w:r>
        <w:rPr/>
        <w:t xml:space="preserve">☐ Jede Regel ist mit den Abläufen vereinbar (wer ruft zurück, wer nennt Kosten, wer prüft Kollisionen).</w:t>
      </w:r>
    </w:p>
    <w:p>
      <w:pPr>
        <w:spacing w:after="120" w:line="276" w:lineRule="auto"/>
        <w:ind w:left="360" w:hanging="360"/>
      </w:pPr>
      <w:r>
        <w:rPr/>
        <w:t xml:space="preserve">☐ Steht das Leitbild auf der Website: sachlich und nicht auf einen bestimmten Auftrag gerichtet (§ 43b BRAO). Teilbereiche („Erbrecht“) nur mit nachweisbaren Kenntnissen; Zusätze wie „Spezialist“ oder „Schwerpunkt“ nur, wenn Sie zusätzlich theoretische Kenntnisse haben und auf dem Gebiet in erheblichem Umfang tätig waren; nichts, was mit einer Fachanwaltschaft verwechselt werden kann (§ 7 BORA). Vergleiche mit anderen Kanzleien besser weglassen.</w:t>
      </w:r>
    </w:p>
    <w:p>
      <w:pPr>
        <w:spacing w:after="120" w:line="276" w:lineRule="auto"/>
        <w:ind w:left="360" w:hanging="360"/>
      </w:pPr>
      <w:r>
        <w:rPr/>
        <w:t xml:space="preserve">☐ Alle, die in der Kanzlei arbeiten, haben die Regeln gesehen und eine eigene Situation dazu genannt.</w:t>
      </w:r>
    </w:p>
    <w:p>
      <w:pPr>
        <w:spacing w:after="120" w:line="276" w:lineRule="auto"/>
      </w:pPr>
      <w:r>
        <w:rPr/>
        <w:t xml:space="preserve"/>
      </w:r>
    </w:p>
    <w:p>
      <w:pPr>
        <w:keepNext/>
        <w:spacing w:before="120" w:after="120"/>
      </w:pPr>
      <w:r>
        <w:rPr>
          <w:b/>
          <w:sz w:val="24"/>
        </w:rPr>
        <w:t xml:space="preserve">Werte-Regeln: Muster zum Anpassen</w:t>
      </w:r>
    </w:p>
    <w:tbl>
      <w:tblPr>
        <w:tblW w:w="5000" w:type="pct"/>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Pr>
      <w:tblGrid>
        <w:gridCol w:w="2000"/>
        <w:gridCol w:w="5000"/>
        <w:gridCol w:w="2638"/>
      </w:tblGrid>
      <w:tr>
        <w:trPr>
          <w:tblHeader/>
        </w:trPr>
        <w:tc>
          <w:tcPr>
            <w:tcW w:w="2000" w:type="dxa"/>
            <w:shd w:val="clear" w:color="auto" w:fill="EFEFEF"/>
          </w:tcPr>
          <w:p>
            <w:pPr>
              <w:spacing w:after="0"/>
            </w:pPr>
            <w:r>
              <w:rPr>
                <w:b/>
                <w:sz w:val="18"/>
              </w:rPr>
              <w:t xml:space="preserve">Wert</w:t>
            </w:r>
          </w:p>
        </w:tc>
        <w:tc>
          <w:tcPr>
            <w:tcW w:w="5000" w:type="dxa"/>
            <w:shd w:val="clear" w:color="auto" w:fill="EFEFEF"/>
          </w:tcPr>
          <w:p>
            <w:pPr>
              <w:spacing w:after="0"/>
            </w:pPr>
            <w:r>
              <w:rPr>
                <w:b/>
                <w:sz w:val="18"/>
              </w:rPr>
              <w:t xml:space="preserve">Regel (beobachtbar)</w:t>
            </w:r>
          </w:p>
        </w:tc>
        <w:tc>
          <w:tcPr>
            <w:tcW w:w="2638" w:type="dxa"/>
            <w:shd w:val="clear" w:color="auto" w:fill="EFEFEF"/>
          </w:tcPr>
          <w:p>
            <w:pPr>
              <w:spacing w:after="0"/>
            </w:pPr>
            <w:r>
              <w:rPr>
                <w:b/>
                <w:sz w:val="18"/>
              </w:rPr>
              <w:t xml:space="preserve">Woran Sie es messen</w:t>
            </w:r>
          </w:p>
        </w:tc>
      </w:tr>
      <w:tr>
        <w:trPr>
          <w:trHeight w:val="400"/>
        </w:trPr>
        <w:tc>
          <w:tcPr>
            <w:tcW w:w="2000" w:type="dxa"/>
          </w:tcPr>
          <w:p>
            <w:pPr>
              <w:spacing w:after="0"/>
            </w:pPr>
            <w:r>
              <w:rPr>
                <w:sz w:val="18"/>
              </w:rPr>
              <w:t xml:space="preserve">Erreichbarkeit</w:t>
            </w:r>
          </w:p>
        </w:tc>
        <w:tc>
          <w:tcPr>
            <w:tcW w:w="5000" w:type="dxa"/>
          </w:tcPr>
          <w:p>
            <w:pPr>
              <w:spacing w:after="0"/>
            </w:pPr>
            <w:r>
              <w:rPr>
                <w:sz w:val="18"/>
              </w:rPr>
              <w:t xml:space="preserve">Neue Anfragen erhalten am selben Tag einen Rückruf mit Uhrzeit; laufende Mandate bis zum Ende des nächsten Arbeitstags.</w:t>
            </w:r>
          </w:p>
        </w:tc>
        <w:tc>
          <w:tcPr>
            <w:tcW w:w="2638" w:type="dxa"/>
          </w:tcPr>
          <w:p>
            <w:pPr>
              <w:spacing w:after="0"/>
            </w:pPr>
            <w:r>
              <w:rPr>
                <w:sz w:val="18"/>
              </w:rPr>
              <w:t xml:space="preserve">Rückrufliste: zugesagt bis / erledigt um</w:t>
            </w:r>
          </w:p>
        </w:tc>
      </w:tr>
      <w:tr>
        <w:trPr>
          <w:trHeight w:val="400"/>
        </w:trPr>
        <w:tc>
          <w:tcPr>
            <w:tcW w:w="2000" w:type="dxa"/>
          </w:tcPr>
          <w:p>
            <w:pPr>
              <w:spacing w:after="0"/>
            </w:pPr>
            <w:r>
              <w:rPr>
                <w:sz w:val="18"/>
              </w:rPr>
              <w:t xml:space="preserve">Kostenklarheit</w:t>
            </w:r>
          </w:p>
        </w:tc>
        <w:tc>
          <w:tcPr>
            <w:tcW w:w="5000" w:type="dxa"/>
          </w:tcPr>
          <w:p>
            <w:pPr>
              <w:spacing w:after="0"/>
            </w:pPr>
            <w:r>
              <w:rPr>
                <w:sz w:val="18"/>
              </w:rPr>
              <w:t xml:space="preserve">Im Erstgespräch nennen wir die voraussichtlichen Kosten des nächsten Abschnitts in Euro.</w:t>
            </w:r>
          </w:p>
        </w:tc>
        <w:tc>
          <w:tcPr>
            <w:tcW w:w="2638" w:type="dxa"/>
          </w:tcPr>
          <w:p>
            <w:pPr>
              <w:spacing w:after="0"/>
            </w:pPr>
            <w:r>
              <w:rPr>
                <w:sz w:val="18"/>
              </w:rPr>
              <w:t xml:space="preserve">Vermerk in der Akte</w:t>
            </w:r>
          </w:p>
        </w:tc>
      </w:tr>
      <w:tr>
        <w:trPr>
          <w:trHeight w:val="400"/>
        </w:trPr>
        <w:tc>
          <w:tcPr>
            <w:tcW w:w="2000" w:type="dxa"/>
          </w:tcPr>
          <w:p>
            <w:pPr>
              <w:spacing w:after="0"/>
            </w:pPr>
            <w:r>
              <w:rPr>
                <w:sz w:val="18"/>
              </w:rPr>
              <w:t xml:space="preserve">Verständlichkeit</w:t>
            </w:r>
          </w:p>
        </w:tc>
        <w:tc>
          <w:tcPr>
            <w:tcW w:w="5000" w:type="dxa"/>
          </w:tcPr>
          <w:p>
            <w:pPr>
              <w:spacing w:after="0"/>
            </w:pPr>
            <w:r>
              <w:rPr>
                <w:sz w:val="18"/>
              </w:rPr>
              <w:t xml:space="preserve">Jedes Schreiben an Mandanten beginnt mit dem, was es für sie bedeutet.</w:t>
            </w:r>
          </w:p>
        </w:tc>
        <w:tc>
          <w:tcPr>
            <w:tcW w:w="2638" w:type="dxa"/>
          </w:tcPr>
          <w:p>
            <w:pPr>
              <w:spacing w:after="0"/>
            </w:pPr>
            <w:r>
              <w:rPr>
                <w:sz w:val="18"/>
              </w:rPr>
              <w:t xml:space="preserve">Stichprobe von fünf Schreiben im Quartal</w:t>
            </w:r>
          </w:p>
        </w:tc>
      </w:tr>
      <w:tr>
        <w:trPr>
          <w:trHeight w:val="400"/>
        </w:trPr>
        <w:tc>
          <w:tcPr>
            <w:tcW w:w="2000" w:type="dxa"/>
          </w:tcPr>
          <w:p>
            <w:pPr>
              <w:spacing w:after="0"/>
            </w:pPr>
            <w:r>
              <w:rPr>
                <w:sz w:val="18"/>
              </w:rPr>
              <w:t xml:space="preserve">[Ihr Wert]</w:t>
            </w:r>
          </w:p>
        </w:tc>
        <w:tc>
          <w:tcPr>
            <w:tcW w:w="5000" w:type="dxa"/>
          </w:tcPr>
          <w:p>
            <w:pPr>
              <w:spacing w:after="0"/>
            </w:pPr>
            <w:r>
              <w:rPr>
                <w:sz w:val="18"/>
              </w:rPr>
              <w:t xml:space="preserve">[Regel]</w:t>
            </w:r>
          </w:p>
        </w:tc>
        <w:tc>
          <w:tcPr>
            <w:tcW w:w="2638" w:type="dxa"/>
          </w:tcPr>
          <w:p>
            <w:pPr>
              <w:spacing w:after="0"/>
            </w:pPr>
            <w:r>
              <w:rPr>
                <w:sz w:val="18"/>
              </w:rPr>
              <w:t xml:space="preserve">[Messung]</w:t>
            </w:r>
          </w:p>
        </w:tc>
      </w:tr>
    </w:tbl>
    <w:p/>
    <w:p>
      <w:r>
        <w:br w:type="page"/>
      </w:r>
    </w:p>
    <w:p>
      <w:pPr>
        <w:spacing w:after="160"/>
      </w:pPr>
      <w:r>
        <w:rPr>
          <w:b/>
          <w:sz w:val="32"/>
        </w:rPr>
        <w:t xml:space="preserve">Beispiel (erfunden): Kanzlei für Erb- und Familienrecht in einer Mittelstadt</w:t>
      </w:r>
    </w:p>
    <w:p>
      <w:pPr>
        <w:spacing w:after="120" w:line="276" w:lineRule="auto"/>
      </w:pPr>
      <w:r>
        <w:rPr>
          <w:i/>
          <w:sz w:val="18"/>
          <w:color w:val="555555"/>
        </w:rPr>
        <w:t xml:space="preserve">Zwei Partnerinnen (Erbrecht; Familienrecht, Fachanwältin), drei Mitarbeiterinnen, Mittelstadt in Schleswig-Holstein, Einzugsgebiet rund 180.000 Einwohner (Annahme). Zahlen des Geschäftsjahres 2025 aus dem Beitrag zu den Kennzahlen: Umsatz 405.000 €, Kosten 167.000 €, 230 abgerechnete Mandate.</w:t>
      </w:r>
    </w:p>
    <w:tbl>
      <w:tblPr>
        <w:tblW w:w="5000" w:type="pct"/>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Pr>
      <w:tblGrid>
        <w:gridCol w:w="2700"/>
        <w:gridCol w:w="6938"/>
      </w:tblGrid>
      <w:tr>
        <w:trPr>
          <w:cantSplit/>
        </w:trPr>
        <w:tc>
          <w:tcPr>
            <w:tcW w:w="2700" w:type="dxa"/>
            <w:shd w:val="clear" w:color="auto" w:fill="EFEFEF"/>
          </w:tcPr>
          <w:p>
            <w:pPr>
              <w:spacing w:after="0"/>
            </w:pPr>
            <w:r>
              <w:rPr>
                <w:b/>
                <w:sz w:val="20"/>
              </w:rPr>
              <w:t xml:space="preserve">1. Positionierung</w:t>
            </w:r>
          </w:p>
        </w:tc>
        <w:tc>
          <w:tcPr>
            <w:tcW w:w="6938" w:type="dxa"/>
          </w:tcPr>
          <w:p>
            <w:pPr>
              <w:spacing w:after="0"/>
            </w:pPr>
            <w:r>
              <w:rPr>
                <w:sz w:val="19"/>
              </w:rPr>
              <w:t xml:space="preserve">Wir sind die Kanzlei im Kreis für Familien, die vorsorgen, erben oder sich trennen. Anders als andere bearbeiten wir Erbrecht und Familienrecht unter einem Dach, mit festen Preisen für Testament und Vorsorgevollmacht.</w:t>
            </w:r>
          </w:p>
        </w:tc>
      </w:tr>
      <w:tr>
        <w:trPr>
          <w:cantSplit/>
        </w:trPr>
        <w:tc>
          <w:tcPr>
            <w:tcW w:w="2700" w:type="dxa"/>
            <w:shd w:val="clear" w:color="auto" w:fill="EFEFEF"/>
          </w:tcPr>
          <w:p>
            <w:pPr>
              <w:spacing w:after="0"/>
            </w:pPr>
            <w:r>
              <w:rPr>
                <w:b/>
                <w:sz w:val="20"/>
              </w:rPr>
              <w:t xml:space="preserve">2. Zielmandanten</w:t>
            </w:r>
          </w:p>
        </w:tc>
        <w:tc>
          <w:tcPr>
            <w:tcW w:w="6938" w:type="dxa"/>
          </w:tcPr>
          <w:p>
            <w:pPr>
              <w:spacing w:after="0"/>
            </w:pPr>
            <w:r>
              <w:rPr>
                <w:sz w:val="19"/>
              </w:rPr>
              <w:t xml:space="preserve">Mehr davon: Ehepaare und Alleinstehende ab etwa 55, die ein Testament wollen · Erben und Pflichtteilsberechtigte mit Streit · Eltern in Trennung (bleibt wie bisher)</w:t>
            </w:r>
            <w:r>
              <w:br/>
            </w:r>
            <w:r>
              <w:rPr>
                <w:sz w:val="19"/>
              </w:rPr>
              <w:t xml:space="preserve">Weniger davon: Erstberatungen ohne Folgemandat außerhalb von Erb- und Familienrecht (an Kollegen verweisen)</w:t>
            </w:r>
          </w:p>
        </w:tc>
      </w:tr>
      <w:tr>
        <w:trPr>
          <w:cantSplit/>
        </w:trPr>
        <w:tc>
          <w:tcPr>
            <w:tcW w:w="2700" w:type="dxa"/>
            <w:shd w:val="clear" w:color="auto" w:fill="EFEFEF"/>
          </w:tcPr>
          <w:p>
            <w:pPr>
              <w:spacing w:after="0"/>
            </w:pPr>
            <w:r>
              <w:rPr>
                <w:b/>
                <w:sz w:val="20"/>
              </w:rPr>
              <w:t xml:space="preserve">3. Leistungen und Preise</w:t>
            </w:r>
          </w:p>
        </w:tc>
        <w:tc>
          <w:tcPr>
            <w:tcW w:w="6938" w:type="dxa"/>
          </w:tcPr>
          <w:p>
            <w:pPr>
              <w:spacing w:after="0"/>
            </w:pPr>
            <w:r>
              <w:rPr>
                <w:sz w:val="19"/>
              </w:rPr>
              <w:t xml:space="preserve">Testament und Vorsorge – Pauschale – positiv (+166,22 € je Mandat)</w:t>
            </w:r>
            <w:r>
              <w:br/>
            </w:r>
            <w:r>
              <w:rPr>
                <w:sz w:val="19"/>
              </w:rPr>
              <w:t xml:space="preserve">Pflichtteil außergerichtlich – RVG, 9 Stunden – negativ (−417,07 €) → künftig Vergütungsvereinbarung oder höchstens 6,6 Stunden</w:t>
            </w:r>
            <w:r>
              <w:br/>
            </w:r>
            <w:r>
              <w:rPr>
                <w:sz w:val="19"/>
              </w:rPr>
              <w:t xml:space="preserve">Pflichtteil gerichtlich – RVG – positiv (+639,85 €)</w:t>
            </w:r>
            <w:r>
              <w:br/>
            </w:r>
            <w:r>
              <w:rPr>
                <w:sz w:val="19"/>
              </w:rPr>
              <w:t xml:space="preserve">Scheidung und Folgesachen – RVG, oft Verfahrenskostenhilfe – Ergebnis 2027 messen (Stunden aus der Zeiterfassung × 172,30 € gegen Honorar je Akte)</w:t>
            </w:r>
            <w:r>
              <w:br/>
            </w:r>
            <w:r>
              <w:rPr>
                <w:sz w:val="19"/>
              </w:rPr>
              <w:t xml:space="preserve">Erstberatung Verbraucher – ohne Vereinbarung höchstens 190 € zzgl. USt (§ 34 RVG) – negativ (−68,45 €), zählt als Akquise</w:t>
            </w:r>
          </w:p>
        </w:tc>
      </w:tr>
      <w:tr>
        <w:trPr>
          <w:cantSplit/>
        </w:trPr>
        <w:tc>
          <w:tcPr>
            <w:tcW w:w="2700" w:type="dxa"/>
            <w:shd w:val="clear" w:color="auto" w:fill="EFEFEF"/>
          </w:tcPr>
          <w:p>
            <w:pPr>
              <w:spacing w:after="0"/>
            </w:pPr>
            <w:r>
              <w:rPr>
                <w:b/>
                <w:sz w:val="20"/>
              </w:rPr>
              <w:t xml:space="preserve">4. Leitbild</w:t>
            </w:r>
          </w:p>
        </w:tc>
        <w:tc>
          <w:tcPr>
            <w:tcW w:w="6938" w:type="dxa"/>
          </w:tcPr>
          <w:p>
            <w:pPr>
              <w:spacing w:after="0"/>
            </w:pPr>
            <w:r>
              <w:rPr>
                <w:sz w:val="19"/>
              </w:rPr>
              <w:t xml:space="preserve">Mission: Wir helfen Familien im Kreis, ihr Vermögen zu regeln und Trennungen und Erbfälle ohne unnötigen Streit zu ordnen.</w:t>
            </w:r>
            <w:r>
              <w:br/>
            </w:r>
            <w:r>
              <w:rPr>
                <w:sz w:val="19"/>
              </w:rPr>
              <w:t xml:space="preserve">Vision: 2030 führen beide Partnerinnen einen Fachanwaltstitel, und wer im Kreis über einen Pflichtteil streitet, kennt unseren Namen.</w:t>
            </w:r>
            <w:r>
              <w:br/>
            </w:r>
            <w:r>
              <w:rPr>
                <w:sz w:val="19"/>
              </w:rPr>
              <w:t xml:space="preserve">Werte: Erreichbarkeit – Rückruf bei neuer Anfrage am selben Tag mit Uhrzeit · Kostenklarheit – Kosten des nächsten Abschnitts im Erstgespräch in Euro · Vorsicht in Familien – Kollisionsprüfung mit allen Familiennamen vor jedem Erstgespräch</w:t>
            </w:r>
          </w:p>
        </w:tc>
      </w:tr>
      <w:tr>
        <w:trPr>
          <w:cantSplit/>
        </w:trPr>
        <w:tc>
          <w:tcPr>
            <w:tcW w:w="2700" w:type="dxa"/>
            <w:shd w:val="clear" w:color="auto" w:fill="EFEFEF"/>
          </w:tcPr>
          <w:p>
            <w:pPr>
              <w:spacing w:after="0"/>
            </w:pPr>
            <w:r>
              <w:rPr>
                <w:b/>
                <w:sz w:val="20"/>
              </w:rPr>
              <w:t xml:space="preserve">5. Ziele mit Kennzahl</w:t>
            </w:r>
          </w:p>
        </w:tc>
        <w:tc>
          <w:tcPr>
            <w:tcW w:w="6938" w:type="dxa"/>
          </w:tcPr>
          <w:p>
            <w:pPr>
              <w:spacing w:after="0"/>
            </w:pPr>
            <w:r>
              <w:rPr>
                <w:sz w:val="19"/>
              </w:rPr>
              <w:t xml:space="preserve">Realisierung: Ist 85,9 % → Ziel 90 % bis 31.12.2027 (Partnerin Familienrecht; +19.170 € bei gleicher Arbeit)</w:t>
            </w:r>
            <w:r>
              <w:br/>
            </w:r>
            <w:r>
              <w:rPr>
                <w:sz w:val="19"/>
              </w:rPr>
              <w:t xml:space="preserve">Forderungslaufzeit: Ist 47 Tage → höchstens 30 Tage bis 30.06.2027 (Büroleitung; 18.712 € einmalig frei)</w:t>
            </w:r>
            <w:r>
              <w:br/>
            </w:r>
            <w:r>
              <w:rPr>
                <w:sz w:val="19"/>
              </w:rPr>
              <w:t xml:space="preserve">Pflichtteil außergerichtlich: Ist −417,07 € je Mandat → mindestens 0 € ab 01.01.2027 (Partnerin Erbrecht)</w:t>
            </w:r>
            <w:r>
              <w:br/>
            </w:r>
            <w:r>
              <w:rPr>
                <w:sz w:val="19"/>
              </w:rPr>
              <w:t xml:space="preserve">Fachanwaltstitel Erbrecht: Ist 64 von 80 Fällen, 14 von 20 Verfahren → Antrag bis 31.12.2027 (Partnerin Erbrecht)</w:t>
            </w:r>
            <w:r>
              <w:br/>
            </w:r>
            <w:r>
              <w:rPr>
                <w:sz w:val="19"/>
              </w:rPr>
              <w:t xml:space="preserve">Auslastung: Ist 56,2 % → 60 % bis 31.12.2027 (Partnerin Familienrecht)</w:t>
            </w:r>
          </w:p>
        </w:tc>
      </w:tr>
      <w:tr>
        <w:trPr>
          <w:cantSplit/>
        </w:trPr>
        <w:tc>
          <w:tcPr>
            <w:tcW w:w="2700" w:type="dxa"/>
            <w:shd w:val="clear" w:color="auto" w:fill="EFEFEF"/>
          </w:tcPr>
          <w:p>
            <w:pPr>
              <w:spacing w:after="0"/>
            </w:pPr>
            <w:r>
              <w:rPr>
                <w:b/>
                <w:sz w:val="20"/>
              </w:rPr>
              <w:t xml:space="preserve">6. Nächste drei Schritte</w:t>
            </w:r>
          </w:p>
        </w:tc>
        <w:tc>
          <w:tcPr>
            <w:tcW w:w="6938" w:type="dxa"/>
          </w:tcPr>
          <w:p>
            <w:pPr>
              <w:spacing w:after="0"/>
            </w:pPr>
            <w:r>
              <w:rPr>
                <w:sz w:val="19"/>
              </w:rPr>
              <w:t xml:space="preserve">1. Partnerin Erbrecht – Vergütungsvereinbarung für außergerichtliche Pflichtteilssachen entwerfen und prüfen lassen – bis 15.12.2026</w:t>
            </w:r>
            <w:r>
              <w:br/>
            </w:r>
            <w:r>
              <w:rPr>
                <w:sz w:val="19"/>
              </w:rPr>
              <w:t xml:space="preserve">2. Büroleitung – Mahnstufen mit festen Tagen einführen – bis 31.12.2026</w:t>
            </w:r>
            <w:r>
              <w:br/>
            </w:r>
            <w:r>
              <w:rPr>
                <w:sz w:val="19"/>
              </w:rPr>
              <w:t xml:space="preserve">3. Partnerin Erbrecht – Fachanwaltslehrgang Erbrecht buchen und fehlende Fallarten auflisten – bis 31.01.2027</w:t>
            </w:r>
          </w:p>
        </w:tc>
      </w:tr>
    </w:tbl>
    <w:p/>
    <w:p>
      <w:pPr>
        <w:spacing w:after="120" w:line="276" w:lineRule="auto"/>
      </w:pPr>
      <w:r>
        <w:rPr/>
        <w:t xml:space="preserve"/>
      </w:r>
    </w:p>
    <w:p>
      <w:pPr>
        <w:keepNext/>
        <w:spacing w:before="120" w:after="120"/>
      </w:pPr>
      <w:r>
        <w:rPr>
          <w:b/>
          <w:sz w:val="24"/>
        </w:rPr>
        <w:t xml:space="preserve">Markt in Zahlen (Blatt 2, ausgefüllt)</w:t>
      </w:r>
    </w:p>
    <w:tbl>
      <w:tblPr>
        <w:tblW w:w="5000" w:type="pct"/>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Pr>
      <w:tblGrid>
        <w:gridCol w:w="700"/>
        <w:gridCol w:w="4000"/>
        <w:gridCol w:w="2469"/>
        <w:gridCol w:w="2469"/>
      </w:tblGrid>
      <w:tr>
        <w:trPr>
          <w:tblHeader/>
        </w:trPr>
        <w:tc>
          <w:tcPr>
            <w:tcW w:w="700" w:type="dxa"/>
            <w:shd w:val="clear" w:color="auto" w:fill="EFEFEF"/>
          </w:tcPr>
          <w:p>
            <w:pPr>
              <w:spacing w:after="0"/>
            </w:pPr>
            <w:r>
              <w:rPr>
                <w:b/>
                <w:sz w:val="18"/>
              </w:rPr>
              <w:t xml:space="preserve">Zeile</w:t>
            </w:r>
          </w:p>
        </w:tc>
        <w:tc>
          <w:tcPr>
            <w:tcW w:w="4000" w:type="dxa"/>
            <w:shd w:val="clear" w:color="auto" w:fill="EFEFEF"/>
          </w:tcPr>
          <w:p>
            <w:pPr>
              <w:spacing w:after="0"/>
            </w:pPr>
            <w:r>
              <w:rPr>
                <w:b/>
                <w:sz w:val="18"/>
              </w:rPr>
              <w:t xml:space="preserve">Größe</w:t>
            </w:r>
          </w:p>
        </w:tc>
        <w:tc>
          <w:tcPr>
            <w:tcW w:w="2469" w:type="dxa"/>
            <w:shd w:val="clear" w:color="auto" w:fill="EFEFEF"/>
          </w:tcPr>
          <w:p>
            <w:pPr>
              <w:spacing w:after="0"/>
            </w:pPr>
            <w:r>
              <w:rPr>
                <w:b/>
                <w:sz w:val="18"/>
              </w:rPr>
              <w:t xml:space="preserve">Erbrecht</w:t>
            </w:r>
          </w:p>
        </w:tc>
        <w:tc>
          <w:tcPr>
            <w:tcW w:w="2469" w:type="dxa"/>
            <w:shd w:val="clear" w:color="auto" w:fill="EFEFEF"/>
          </w:tcPr>
          <w:p>
            <w:pPr>
              <w:spacing w:after="0"/>
            </w:pPr>
            <w:r>
              <w:rPr>
                <w:b/>
                <w:sz w:val="18"/>
              </w:rPr>
              <w:t xml:space="preserve">Familienrecht</w:t>
            </w:r>
          </w:p>
        </w:tc>
      </w:tr>
      <w:tr>
        <w:trPr>
          <w:trHeight w:val="400"/>
        </w:trPr>
        <w:tc>
          <w:tcPr>
            <w:tcW w:w="700" w:type="dxa"/>
          </w:tcPr>
          <w:p>
            <w:pPr>
              <w:spacing w:after="0"/>
            </w:pPr>
            <w:r>
              <w:rPr>
                <w:sz w:val="18"/>
              </w:rPr>
              <w:t xml:space="preserve">A</w:t>
            </w:r>
          </w:p>
        </w:tc>
        <w:tc>
          <w:tcPr>
            <w:tcW w:w="4000" w:type="dxa"/>
          </w:tcPr>
          <w:p>
            <w:pPr>
              <w:spacing w:after="0"/>
            </w:pPr>
            <w:r>
              <w:rPr>
                <w:sz w:val="18"/>
              </w:rPr>
              <w:t xml:space="preserve">Einwohner im Kammerbezirk Schleswig-Holstein</w:t>
            </w:r>
          </w:p>
        </w:tc>
        <w:tc>
          <w:tcPr>
            <w:tcW w:w="2469" w:type="dxa"/>
          </w:tcPr>
          <w:p>
            <w:pPr>
              <w:spacing w:after="0"/>
            </w:pPr>
            <w:r>
              <w:rPr>
                <w:sz w:val="18"/>
              </w:rPr>
              <w:t xml:space="preserve">2.958.519</w:t>
            </w:r>
          </w:p>
        </w:tc>
        <w:tc>
          <w:tcPr>
            <w:tcW w:w="2469" w:type="dxa"/>
          </w:tcPr>
          <w:p>
            <w:pPr>
              <w:spacing w:after="0"/>
            </w:pPr>
            <w:r>
              <w:rPr>
                <w:sz w:val="18"/>
              </w:rPr>
              <w:t xml:space="preserve">2.958.519</w:t>
            </w:r>
          </w:p>
        </w:tc>
      </w:tr>
      <w:tr>
        <w:trPr>
          <w:trHeight w:val="400"/>
        </w:trPr>
        <w:tc>
          <w:tcPr>
            <w:tcW w:w="700" w:type="dxa"/>
          </w:tcPr>
          <w:p>
            <w:pPr>
              <w:spacing w:after="0"/>
            </w:pPr>
            <w:r>
              <w:rPr>
                <w:sz w:val="18"/>
              </w:rPr>
              <w:t xml:space="preserve">B</w:t>
            </w:r>
          </w:p>
        </w:tc>
        <w:tc>
          <w:tcPr>
            <w:tcW w:w="4000" w:type="dxa"/>
          </w:tcPr>
          <w:p>
            <w:pPr>
              <w:spacing w:after="0"/>
            </w:pPr>
            <w:r>
              <w:rPr>
                <w:sz w:val="18"/>
              </w:rPr>
              <w:t xml:space="preserve">Fachanwaltstitel im Kammerbezirk</w:t>
            </w:r>
          </w:p>
        </w:tc>
        <w:tc>
          <w:tcPr>
            <w:tcW w:w="2469" w:type="dxa"/>
          </w:tcPr>
          <w:p>
            <w:pPr>
              <w:spacing w:after="0"/>
            </w:pPr>
            <w:r>
              <w:rPr>
                <w:sz w:val="18"/>
              </w:rPr>
              <w:t xml:space="preserve">88</w:t>
            </w:r>
          </w:p>
        </w:tc>
        <w:tc>
          <w:tcPr>
            <w:tcW w:w="2469" w:type="dxa"/>
          </w:tcPr>
          <w:p>
            <w:pPr>
              <w:spacing w:after="0"/>
            </w:pPr>
            <w:r>
              <w:rPr>
                <w:sz w:val="18"/>
              </w:rPr>
              <w:t xml:space="preserve">352</w:t>
            </w:r>
          </w:p>
        </w:tc>
      </w:tr>
      <w:tr>
        <w:trPr>
          <w:trHeight w:val="400"/>
        </w:trPr>
        <w:tc>
          <w:tcPr>
            <w:tcW w:w="700" w:type="dxa"/>
          </w:tcPr>
          <w:p>
            <w:pPr>
              <w:spacing w:after="0"/>
            </w:pPr>
            <w:r>
              <w:rPr>
                <w:sz w:val="18"/>
              </w:rPr>
              <w:t xml:space="preserve">C</w:t>
            </w:r>
          </w:p>
        </w:tc>
        <w:tc>
          <w:tcPr>
            <w:tcW w:w="4000" w:type="dxa"/>
          </w:tcPr>
          <w:p>
            <w:pPr>
              <w:spacing w:after="0"/>
            </w:pPr>
            <w:r>
              <w:rPr>
                <w:sz w:val="18"/>
              </w:rPr>
              <w:t xml:space="preserve">Dichte je 10.000 Einwohner (Bund)</w:t>
            </w:r>
          </w:p>
        </w:tc>
        <w:tc>
          <w:tcPr>
            <w:tcW w:w="2469" w:type="dxa"/>
          </w:tcPr>
          <w:p>
            <w:pPr>
              <w:spacing w:after="0"/>
            </w:pPr>
            <w:r>
              <w:rPr>
                <w:sz w:val="18"/>
              </w:rPr>
              <w:t xml:space="preserve">0,30 (0,29)</w:t>
            </w:r>
          </w:p>
        </w:tc>
        <w:tc>
          <w:tcPr>
            <w:tcW w:w="2469" w:type="dxa"/>
          </w:tcPr>
          <w:p>
            <w:pPr>
              <w:spacing w:after="0"/>
            </w:pPr>
            <w:r>
              <w:rPr>
                <w:sz w:val="18"/>
              </w:rPr>
              <w:t xml:space="preserve">1,19 (1,00)</w:t>
            </w:r>
          </w:p>
        </w:tc>
      </w:tr>
      <w:tr>
        <w:trPr>
          <w:trHeight w:val="400"/>
        </w:trPr>
        <w:tc>
          <w:tcPr>
            <w:tcW w:w="700" w:type="dxa"/>
          </w:tcPr>
          <w:p>
            <w:pPr>
              <w:spacing w:after="0"/>
            </w:pPr>
            <w:r>
              <w:rPr>
                <w:sz w:val="18"/>
              </w:rPr>
              <w:t xml:space="preserve">D</w:t>
            </w:r>
          </w:p>
        </w:tc>
        <w:tc>
          <w:tcPr>
            <w:tcW w:w="4000" w:type="dxa"/>
          </w:tcPr>
          <w:p>
            <w:pPr>
              <w:spacing w:after="0"/>
            </w:pPr>
            <w:r>
              <w:rPr>
                <w:sz w:val="18"/>
              </w:rPr>
              <w:t xml:space="preserve">Einwohner im Einzugsgebiet (Annahme)</w:t>
            </w:r>
          </w:p>
        </w:tc>
        <w:tc>
          <w:tcPr>
            <w:tcW w:w="2469" w:type="dxa"/>
          </w:tcPr>
          <w:p>
            <w:pPr>
              <w:spacing w:after="0"/>
            </w:pPr>
            <w:r>
              <w:rPr>
                <w:sz w:val="18"/>
              </w:rPr>
              <w:t xml:space="preserve">180.000</w:t>
            </w:r>
          </w:p>
        </w:tc>
        <w:tc>
          <w:tcPr>
            <w:tcW w:w="2469" w:type="dxa"/>
          </w:tcPr>
          <w:p>
            <w:pPr>
              <w:spacing w:after="0"/>
            </w:pPr>
            <w:r>
              <w:rPr>
                <w:sz w:val="18"/>
              </w:rPr>
              <w:t xml:space="preserve">180.000</w:t>
            </w:r>
          </w:p>
        </w:tc>
      </w:tr>
      <w:tr>
        <w:trPr>
          <w:trHeight w:val="400"/>
        </w:trPr>
        <w:tc>
          <w:tcPr>
            <w:tcW w:w="700" w:type="dxa"/>
          </w:tcPr>
          <w:p>
            <w:pPr>
              <w:spacing w:after="0"/>
            </w:pPr>
            <w:r>
              <w:rPr>
                <w:sz w:val="18"/>
              </w:rPr>
              <w:t xml:space="preserve">E</w:t>
            </w:r>
          </w:p>
        </w:tc>
        <w:tc>
          <w:tcPr>
            <w:tcW w:w="4000" w:type="dxa"/>
          </w:tcPr>
          <w:p>
            <w:pPr>
              <w:spacing w:after="0"/>
            </w:pPr>
            <w:r>
              <w:rPr>
                <w:sz w:val="18"/>
              </w:rPr>
              <w:t xml:space="preserve">erwartete Titel</w:t>
            </w:r>
          </w:p>
        </w:tc>
        <w:tc>
          <w:tcPr>
            <w:tcW w:w="2469" w:type="dxa"/>
          </w:tcPr>
          <w:p>
            <w:pPr>
              <w:spacing w:after="0"/>
            </w:pPr>
            <w:r>
              <w:rPr>
                <w:sz w:val="18"/>
              </w:rPr>
              <w:t xml:space="preserve">5,4</w:t>
            </w:r>
          </w:p>
        </w:tc>
        <w:tc>
          <w:tcPr>
            <w:tcW w:w="2469" w:type="dxa"/>
          </w:tcPr>
          <w:p>
            <w:pPr>
              <w:spacing w:after="0"/>
            </w:pPr>
            <w:r>
              <w:rPr>
                <w:sz w:val="18"/>
              </w:rPr>
              <w:t xml:space="preserve">21,4</w:t>
            </w:r>
          </w:p>
        </w:tc>
      </w:tr>
      <w:tr>
        <w:trPr>
          <w:trHeight w:val="400"/>
        </w:trPr>
        <w:tc>
          <w:tcPr>
            <w:tcW w:w="700" w:type="dxa"/>
          </w:tcPr>
          <w:p>
            <w:pPr>
              <w:spacing w:after="0"/>
            </w:pPr>
            <w:r>
              <w:rPr>
                <w:sz w:val="18"/>
              </w:rPr>
              <w:t xml:space="preserve">F</w:t>
            </w:r>
          </w:p>
        </w:tc>
        <w:tc>
          <w:tcPr>
            <w:tcW w:w="4000" w:type="dxa"/>
          </w:tcPr>
          <w:p>
            <w:pPr>
              <w:spacing w:after="0"/>
            </w:pPr>
            <w:r>
              <w:rPr>
                <w:sz w:val="18"/>
              </w:rPr>
              <w:t xml:space="preserve">gezählte Titel (erfunden)</w:t>
            </w:r>
          </w:p>
        </w:tc>
        <w:tc>
          <w:tcPr>
            <w:tcW w:w="2469" w:type="dxa"/>
          </w:tcPr>
          <w:p>
            <w:pPr>
              <w:spacing w:after="0"/>
            </w:pPr>
            <w:r>
              <w:rPr>
                <w:sz w:val="18"/>
              </w:rPr>
              <w:t xml:space="preserve">2</w:t>
            </w:r>
          </w:p>
        </w:tc>
        <w:tc>
          <w:tcPr>
            <w:tcW w:w="2469" w:type="dxa"/>
          </w:tcPr>
          <w:p>
            <w:pPr>
              <w:spacing w:after="0"/>
            </w:pPr>
            <w:r>
              <w:rPr>
                <w:sz w:val="18"/>
              </w:rPr>
              <w:t xml:space="preserve">19</w:t>
            </w:r>
          </w:p>
        </w:tc>
      </w:tr>
      <w:tr>
        <w:trPr>
          <w:trHeight w:val="400"/>
        </w:trPr>
        <w:tc>
          <w:tcPr>
            <w:tcW w:w="700" w:type="dxa"/>
          </w:tcPr>
          <w:p>
            <w:pPr>
              <w:spacing w:after="0"/>
            </w:pPr>
            <w:r>
              <w:rPr>
                <w:sz w:val="18"/>
              </w:rPr>
              <w:t xml:space="preserve">G</w:t>
            </w:r>
          </w:p>
        </w:tc>
        <w:tc>
          <w:tcPr>
            <w:tcW w:w="4000" w:type="dxa"/>
          </w:tcPr>
          <w:p>
            <w:pPr>
              <w:spacing w:after="0"/>
            </w:pPr>
            <w:r>
              <w:rPr>
                <w:sz w:val="18"/>
              </w:rPr>
              <w:t xml:space="preserve">Lücke</w:t>
            </w:r>
          </w:p>
        </w:tc>
        <w:tc>
          <w:tcPr>
            <w:tcW w:w="2469" w:type="dxa"/>
          </w:tcPr>
          <w:p>
            <w:pPr>
              <w:spacing w:after="0"/>
            </w:pPr>
            <w:r>
              <w:rPr>
                <w:sz w:val="18"/>
              </w:rPr>
              <w:t xml:space="preserve">3,4</w:t>
            </w:r>
          </w:p>
        </w:tc>
        <w:tc>
          <w:tcPr>
            <w:tcW w:w="2469" w:type="dxa"/>
          </w:tcPr>
          <w:p>
            <w:pPr>
              <w:spacing w:after="0"/>
            </w:pPr>
            <w:r>
              <w:rPr>
                <w:sz w:val="18"/>
              </w:rPr>
              <w:t xml:space="preserve">2,4</w:t>
            </w:r>
          </w:p>
        </w:tc>
      </w:tr>
      <w:tr>
        <w:trPr>
          <w:trHeight w:val="400"/>
        </w:trPr>
        <w:tc>
          <w:tcPr>
            <w:tcW w:w="700" w:type="dxa"/>
          </w:tcPr>
          <w:p>
            <w:pPr>
              <w:spacing w:after="0"/>
            </w:pPr>
            <w:r>
              <w:rPr>
                <w:sz w:val="18"/>
              </w:rPr>
              <w:t xml:space="preserve">H</w:t>
            </w:r>
          </w:p>
        </w:tc>
        <w:tc>
          <w:tcPr>
            <w:tcW w:w="4000" w:type="dxa"/>
          </w:tcPr>
          <w:p>
            <w:pPr>
              <w:spacing w:after="0"/>
            </w:pPr>
            <w:r>
              <w:rPr>
                <w:sz w:val="18"/>
              </w:rPr>
              <w:t xml:space="preserve">Nachfrage im Einzugsgebiet (Bundesquote)</w:t>
            </w:r>
          </w:p>
        </w:tc>
        <w:tc>
          <w:tcPr>
            <w:tcW w:w="2469" w:type="dxa"/>
          </w:tcPr>
          <w:p>
            <w:pPr>
              <w:spacing w:after="0"/>
            </w:pPr>
            <w:r>
              <w:rPr>
                <w:sz w:val="18"/>
              </w:rPr>
              <w:t xml:space="preserve">rund 2.180 Sterbefälle</w:t>
            </w:r>
          </w:p>
        </w:tc>
        <w:tc>
          <w:tcPr>
            <w:tcW w:w="2469" w:type="dxa"/>
          </w:tcPr>
          <w:p>
            <w:pPr>
              <w:spacing w:after="0"/>
            </w:pPr>
            <w:r>
              <w:rPr>
                <w:sz w:val="18"/>
              </w:rPr>
              <w:t xml:space="preserve">rund 280 Scheidungen</w:t>
            </w:r>
          </w:p>
        </w:tc>
      </w:tr>
      <w:tr>
        <w:trPr>
          <w:trHeight w:val="400"/>
        </w:trPr>
        <w:tc>
          <w:tcPr>
            <w:tcW w:w="700" w:type="dxa"/>
          </w:tcPr>
          <w:p>
            <w:pPr>
              <w:spacing w:after="0"/>
            </w:pPr>
            <w:r>
              <w:rPr>
                <w:sz w:val="18"/>
              </w:rPr>
              <w:t xml:space="preserve">I</w:t>
            </w:r>
          </w:p>
        </w:tc>
        <w:tc>
          <w:tcPr>
            <w:tcW w:w="4000" w:type="dxa"/>
          </w:tcPr>
          <w:p>
            <w:pPr>
              <w:spacing w:after="0"/>
            </w:pPr>
            <w:r>
              <w:rPr>
                <w:sz w:val="18"/>
              </w:rPr>
              <w:t xml:space="preserve">je gezähltem Titel (Bund)</w:t>
            </w:r>
          </w:p>
        </w:tc>
        <w:tc>
          <w:tcPr>
            <w:tcW w:w="2469" w:type="dxa"/>
          </w:tcPr>
          <w:p>
            <w:pPr>
              <w:spacing w:after="0"/>
            </w:pPr>
            <w:r>
              <w:rPr>
                <w:sz w:val="18"/>
              </w:rPr>
              <w:t xml:space="preserve">1.089 (412)</w:t>
            </w:r>
          </w:p>
        </w:tc>
        <w:tc>
          <w:tcPr>
            <w:tcW w:w="2469" w:type="dxa"/>
          </w:tcPr>
          <w:p>
            <w:pPr>
              <w:spacing w:after="0"/>
            </w:pPr>
            <w:r>
              <w:rPr>
                <w:sz w:val="18"/>
              </w:rPr>
              <w:t xml:space="preserve">14,8 (15,6)</w:t>
            </w:r>
          </w:p>
        </w:tc>
      </w:tr>
    </w:tbl>
    <w:p/>
    <w:p>
      <w:pPr>
        <w:spacing w:after="120" w:line="276" w:lineRule="auto"/>
      </w:pPr>
      <w:r>
        <w:rPr>
          <w:i/>
          <w:sz w:val="18"/>
          <w:color w:val="555555"/>
        </w:rPr>
        <w:t xml:space="preserve">Ergebnis: Erbrecht ist im Einzugsgebiet dünn mit Fachanwälten besetzt, Familienrecht etwa wie im Bund. Die Kanzlei baut Erbrecht aus und hält Familienrecht.</w:t>
      </w:r>
    </w:p>
    <w:p>
      <w:pPr>
        <w:spacing w:after="120" w:line="276" w:lineRule="auto"/>
      </w:pPr>
      <w:r>
        <w:rPr/>
        <w:t xml:space="preserve"/>
      </w:r>
    </w:p>
    <w:p>
      <w:pPr>
        <w:spacing w:after="120" w:line="276" w:lineRule="auto"/>
      </w:pPr>
      <w:r>
        <w:rPr>
          <w:i/>
          <w:sz w:val="18"/>
          <w:color w:val="555555"/>
        </w:rPr>
        <w:t xml:space="preserve">Die Vorlage hilft beim Ordnen eigener Entscheidungen. Sie prüft keinen Einzelfall und ersetzt keine Rechts- oder Steuerberatung. Statistik: Bundesrechtsanwaltskammer, Stand 01.01.2026; Einwohner: Statistische Ämter des Bundes und der Länder, Bevölkerungsstand 2025.</w:t>
      </w:r>
    </w:p>
    <w:p>
      <w:pPr>
        <w:spacing w:after="120" w:line="276" w:lineRule="auto"/>
      </w:pPr>
      <w:r>
        <w:rPr>
          <w:i/>
          <w:sz w:val="18"/>
          <w:color w:val="555555"/>
        </w:rPr>
        <w:t xml:space="preserve">Nutzungsbedingungen: Sie dürfen die Vorlage kostenlos in Ihrer Kanzlei verwenden und anpassen; Weitergabe unverändert mit „Quelle: ratg.de“. Vollständige Fassung: https://ratg.de/nutzungsbedingungen/ · Herausgeber: Linqbiz GmbH, Angaben im Impressum unter https://ratg.de/impressum/.</w:t>
      </w:r>
    </w:p>
    <w:sectPr>
      <w:pgSz w:w="11906" w:h="16838"/>
      <w:pgMar w:top="1000" w:right="1134" w:bottom="1000" w:left="1134" w:header="709" w:footer="709" w:gutter="0"/>
    </w:sectPr>
  </w:body>
</w:document>
</file>

<file path=word/styles.xml><?xml version="1.0" encoding="utf-8"?>
<w:styles xmlns:w="http://schemas.openxmlformats.org/wordprocessingml/2006/main">
  <w:docDefaults>
    <w:rPrDefault>
      <w:rPr>
        <w:rFonts w:ascii="Calibri" w:hAnsi="Calibri" w:cs="Calibri" w:eastAsia="Segoe UI Symbol"/>
        <w:sz w:val="21"/>
        <w:lang w:val="de-DE"/>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ratg.de</Application>
  <Company>ratg.de</Company>
</Properties>
</file>

<file path=docProps/core.xml><?xml version="1.0" encoding="utf-8"?>
<cp:coreProperties xmlns:cp="http://schemas.openxmlformats.org/package/2006/metadata/core-properties" xmlns:dc="http://purl.org/dc/elements/1.1/">
  <dc:title>Kanzleistrategie auf einer Seite (Stand 11/2026)</dc:title>
  <dc:creator>ratg.de</dc:creator>
  <cp:lastModifiedBy>ratg.de</cp:lastModifiedBy>
</cp:coreProperties>
</file>