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60" w:line="259" w:lineRule="auto"/>
      </w:pPr>
      <w:r>
        <w:rPr>
          <w:b/>
          <w:sz w:val="30"/>
          <w:szCs w:val="30"/>
        </w:rPr>
        <w:t xml:space="preserve">Briefvorlage: Mandantenbrief in einfacher Sprache</w:t>
      </w:r>
    </w:p>
    <w:p>
      <w:pPr>
        <w:spacing w:before="0" w:after="160" w:line="259" w:lineRule="auto"/>
      </w:pPr>
      <w:r>
        <w:rPr>
          <w:i/>
          <w:color w:val="555555"/>
          <w:sz w:val="17"/>
          <w:szCs w:val="17"/>
        </w:rPr>
        <w:t xml:space="preserve">Für Briefe mit Frist oder Entscheidung. Platzhalter stehen in [eckigen Klammern]. Grau hinterlegte Felder füllt ein Mensch aus dem Fachbrief, nie das KI-Werkzeug. Danach Seite 2 (Prüfliste). Stand: Oktober 2026. Erläuterung und Versuch: https://ratg.de/mandantenbrief-einfache-sprache/</w:t>
      </w:r>
    </w:p>
    <w:p>
      <w:pPr>
        <w:spacing w:before="0" w:after="120" w:line="259" w:lineRule="auto"/>
      </w:pPr>
      <w:r>
        <w:rPr>
          <w:color w:val="404040"/>
          <w:sz w:val="21"/>
          <w:szCs w:val="21"/>
        </w:rPr>
        <w:t xml:space="preserve">[Kanzlei] · Unser Zeichen: [Aktenzeichen] · [Datum]</w:t>
      </w:r>
    </w:p>
    <w:p>
      <w:pPr>
        <w:spacing w:before="0" w:after="120" w:line="259" w:lineRule="auto"/>
      </w:pPr>
      <w:r>
        <w:rPr>
          <w:b/>
        </w:rPr>
        <w:t xml:space="preserve">Betreff: </w:t>
      </w:r>
      <w:r>
        <w:rPr/>
        <w:t xml:space="preserve">[Worum es geht, in fünf bis acht Wörtern, z. B. „Ihre Mieterhöhung: Was Sie bis wann tun müssen“]</w:t>
      </w:r>
    </w:p>
    <w:p>
      <w:pPr>
        <w:spacing w:before="0" w:after="120" w:line="259" w:lineRule="auto"/>
      </w:pPr>
      <w:r>
        <w:rPr>
          <w:color w:val="404040"/>
          <w:sz w:val="21"/>
          <w:szCs w:val="21"/>
        </w:rPr>
        <w:t xml:space="preserve">Sehr geehrte [Anrede und Name],</w:t>
      </w:r>
    </w:p>
    <w:p>
      <w:pPr>
        <w:keepNext/>
        <w:spacing w:before="0" w:after="60" w:line="259" w:lineRule="auto"/>
      </w:pPr>
      <w:r>
        <w:rPr>
          <w:b/>
          <w:sz w:val="22"/>
          <w:szCs w:val="22"/>
        </w:rPr>
        <w:t xml:space="preserve">Das Wichtigste zuerst</w:t>
      </w:r>
    </w:p>
    <w:tbl>
      <w:tblPr>
        <w:tblW w:w="986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3600"/>
        <w:gridCol w:w="1700"/>
        <w:gridCol w:w="4560"/>
      </w:tblGrid>
      <w:tr>
        <w:trPr>
          <w:cantSplit/>
          <w:tblHeader/>
        </w:trPr>
        <w:tc>
          <w:tcPr>
            <w:tcW w:w="3600" w:type="dxa"/>
            <w:shd w:val="clear" w:color="auto" w:fill="DDE5EE"/>
          </w:tcPr>
          <w:p>
            <w:pPr>
              <w:spacing w:before="0" w:after="40" w:line="259" w:lineRule="auto"/>
            </w:pPr>
            <w:r>
              <w:rPr>
                <w:b/>
                <w:sz w:val="18"/>
                <w:szCs w:val="18"/>
              </w:rPr>
              <w:t xml:space="preserve">Was Sie tun müssen</w:t>
            </w:r>
          </w:p>
        </w:tc>
        <w:tc>
          <w:tcPr>
            <w:tcW w:w="1700" w:type="dxa"/>
            <w:shd w:val="clear" w:color="auto" w:fill="DDE5EE"/>
          </w:tcPr>
          <w:p>
            <w:pPr>
              <w:spacing w:before="0" w:after="40" w:line="259" w:lineRule="auto"/>
            </w:pPr>
            <w:r>
              <w:rPr>
                <w:b/>
                <w:sz w:val="18"/>
                <w:szCs w:val="18"/>
              </w:rPr>
              <w:t xml:space="preserve">Bis wann</w:t>
            </w:r>
          </w:p>
        </w:tc>
        <w:tc>
          <w:tcPr>
            <w:tcW w:w="4560" w:type="dxa"/>
            <w:shd w:val="clear" w:color="auto" w:fill="DDE5EE"/>
          </w:tcPr>
          <w:p>
            <w:pPr>
              <w:spacing w:before="0" w:after="40" w:line="259" w:lineRule="auto"/>
            </w:pPr>
            <w:r>
              <w:rPr>
                <w:b/>
                <w:sz w:val="18"/>
                <w:szCs w:val="18"/>
              </w:rPr>
              <w:t xml:space="preserve">Was passiert, wenn Sie nichts tun</w:t>
            </w:r>
          </w:p>
        </w:tc>
      </w:tr>
      <w:tr>
        <w:trPr>
          <w:cantSplit/>
        </w:trPr>
        <w:tc>
          <w:tcPr>
            <w:tcW w:w="3600" w:type="dxa"/>
            <w:shd w:val="clear" w:color="auto" w:fill="E7E7E7"/>
          </w:tcPr>
          <w:p>
            <w:pPr>
              <w:spacing w:before="0" w:after="40" w:line="259" w:lineRule="auto"/>
            </w:pPr>
            <w:r>
              <w:rPr>
                <w:i/>
                <w:color w:val="555555"/>
                <w:sz w:val="17"/>
                <w:szCs w:val="17"/>
              </w:rPr>
              <w:t xml:space="preserve">Beispiel aus dem Artikel (vor Gebrauch löschen): Sagen Sie uns, ob wir für Sie nur einer Erhöhung auf 840 Euro zustimmen sollen.</w:t>
            </w:r>
          </w:p>
        </w:tc>
        <w:tc>
          <w:tcPr>
            <w:tcW w:w="1700" w:type="dxa"/>
            <w:shd w:val="clear" w:color="auto" w:fill="E7E7E7"/>
          </w:tcPr>
          <w:p>
            <w:pPr>
              <w:spacing w:before="0" w:after="40" w:line="259" w:lineRule="auto"/>
            </w:pPr>
            <w:r>
              <w:rPr>
                <w:i/>
                <w:color w:val="555555"/>
                <w:sz w:val="17"/>
                <w:szCs w:val="17"/>
              </w:rPr>
              <w:t xml:space="preserve">Freitag, 20.11.2026 (Frist der Kanzlei; die Zustimmungsfrist endet am 31.12.2026)</w:t>
            </w:r>
          </w:p>
        </w:tc>
        <w:tc>
          <w:tcPr>
            <w:tcW w:w="4560" w:type="dxa"/>
            <w:shd w:val="clear" w:color="auto" w:fill="E7E7E7"/>
          </w:tcPr>
          <w:p>
            <w:pPr>
              <w:spacing w:before="0" w:after="40" w:line="259" w:lineRule="auto"/>
            </w:pPr>
            <w:r>
              <w:rPr>
                <w:i/>
                <w:color w:val="555555"/>
                <w:sz w:val="17"/>
                <w:szCs w:val="17"/>
              </w:rPr>
              <w:t xml:space="preserve">Schweigen gilt nicht als Zustimmung. Die Vermieterin kann dann bis 31.03.2027 auf Zustimmung klagen. Gewinnt sie, zahlen Sie die erhöhte Miete rückwirkend ab 01.01.2027 und die Kosten, soweit Sie verlieren.</w:t>
            </w:r>
          </w:p>
        </w:tc>
      </w:tr>
      <w:tr>
        <w:trPr>
          <w:cantSplit/>
        </w:trPr>
        <w:tc>
          <w:tcPr>
            <w:tcW w:w="3600" w:type="dxa"/>
            <w:shd w:val="clear" w:color="auto" w:fill="E7E7E7"/>
          </w:tcPr>
          <w:p>
            <w:pPr>
              <w:spacing w:before="0" w:after="40" w:line="259" w:lineRule="auto"/>
            </w:pPr>
            <w:r>
              <w:rPr>
                <w:sz w:val="18"/>
                <w:szCs w:val="18"/>
              </w:rPr>
              <w:t xml:space="preserve">[Handlung 1, z. B. „Sagen Sie uns, ob wir … sollen“]</w:t>
            </w:r>
          </w:p>
        </w:tc>
        <w:tc>
          <w:tcPr>
            <w:tcW w:w="1700" w:type="dxa"/>
            <w:shd w:val="clear" w:color="auto" w:fill="E7E7E7"/>
          </w:tcPr>
          <w:p>
            <w:pPr>
              <w:spacing w:before="0" w:after="40" w:line="259" w:lineRule="auto"/>
            </w:pPr>
            <w:r>
              <w:rPr>
                <w:sz w:val="18"/>
                <w:szCs w:val="18"/>
              </w:rPr>
              <w:t xml:space="preserve">[Wochentag, Datum]</w:t>
            </w:r>
          </w:p>
        </w:tc>
        <w:tc>
          <w:tcPr>
            <w:tcW w:w="4560" w:type="dxa"/>
            <w:shd w:val="clear" w:color="auto" w:fill="E7E7E7"/>
          </w:tcPr>
          <w:p>
            <w:pPr>
              <w:spacing w:before="0" w:after="40" w:line="259" w:lineRule="auto"/>
            </w:pPr>
            <w:r>
              <w:rPr>
                <w:sz w:val="18"/>
                <w:szCs w:val="18"/>
              </w:rPr>
              <w:t xml:space="preserve">[Folge im Wortlaut des Fachbriefs]</w:t>
            </w:r>
          </w:p>
        </w:tc>
      </w:tr>
      <w:tr>
        <w:trPr>
          <w:cantSplit/>
        </w:trPr>
        <w:tc>
          <w:tcPr>
            <w:tcW w:w="3600" w:type="dxa"/>
            <w:shd w:val="clear" w:color="auto" w:fill="E7E7E7"/>
          </w:tcPr>
          <w:p>
            <w:pPr>
              <w:spacing w:before="0" w:after="40" w:line="259" w:lineRule="auto"/>
            </w:pPr>
            <w:r>
              <w:rPr>
                <w:sz w:val="18"/>
                <w:szCs w:val="18"/>
              </w:rPr>
              <w:t xml:space="preserve">[Handlung 2 oder leer lassen]</w:t>
            </w:r>
          </w:p>
        </w:tc>
        <w:tc>
          <w:tcPr>
            <w:tcW w:w="1700" w:type="dxa"/>
            <w:shd w:val="clear" w:color="auto" w:fill="E7E7E7"/>
          </w:tcPr>
          <w:p>
            <w:pPr>
              <w:spacing w:before="0" w:after="40" w:line="259" w:lineRule="auto"/>
            </w:pPr>
            <w:r>
              <w:rPr>
                <w:sz w:val="18"/>
                <w:szCs w:val="18"/>
              </w:rPr>
              <w:t xml:space="preserve">[Wochentag, Datum]</w:t>
            </w:r>
          </w:p>
        </w:tc>
        <w:tc>
          <w:tcPr>
            <w:tcW w:w="4560" w:type="dxa"/>
            <w:shd w:val="clear" w:color="auto" w:fill="E7E7E7"/>
          </w:tcPr>
          <w:p>
            <w:pPr>
              <w:spacing w:before="0" w:after="40" w:line="259" w:lineRule="auto"/>
            </w:pPr>
            <w:r>
              <w:rPr>
                <w:sz w:val="18"/>
                <w:szCs w:val="18"/>
              </w:rPr>
              <w:t xml:space="preserve">[Folge]</w:t>
            </w:r>
          </w:p>
        </w:tc>
      </w:tr>
    </w:tbl>
    <w:p>
      <w:pPr>
        <w:spacing w:before="0" w:after="80" w:line="259" w:lineRule="auto"/>
      </w:pPr>
    </w:p>
    <w:p>
      <w:pPr>
        <w:keepNext/>
        <w:spacing w:before="0" w:after="60" w:line="259" w:lineRule="auto"/>
      </w:pPr>
      <w:r>
        <w:rPr>
          <w:b/>
          <w:sz w:val="22"/>
          <w:szCs w:val="22"/>
        </w:rPr>
        <w:t xml:space="preserve">1. Worum es geht</w:t>
      </w:r>
    </w:p>
    <w:p>
      <w:pPr>
        <w:spacing w:before="0" w:after="120" w:line="259" w:lineRule="auto"/>
      </w:pPr>
      <w:r>
        <w:rPr>
          <w:color w:val="404040"/>
          <w:sz w:val="21"/>
          <w:szCs w:val="21"/>
        </w:rPr>
        <w:t xml:space="preserve">[Zwei bis vier kurze Sätze: wer, was, seit wann. Fachwort beim ersten Mal erklären.]</w:t>
      </w:r>
    </w:p>
    <w:p>
      <w:pPr>
        <w:keepNext/>
        <w:spacing w:before="0" w:after="60" w:line="259" w:lineRule="auto"/>
      </w:pPr>
      <w:r>
        <w:rPr>
          <w:b/>
          <w:sz w:val="22"/>
          <w:szCs w:val="22"/>
        </w:rPr>
        <w:t xml:space="preserve">2. Was wir geprüft haben</w:t>
      </w:r>
    </w:p>
    <w:p>
      <w:pPr>
        <w:spacing w:before="0" w:after="120" w:line="259" w:lineRule="auto"/>
      </w:pPr>
      <w:r>
        <w:rPr>
          <w:color w:val="404040"/>
          <w:sz w:val="21"/>
          <w:szCs w:val="21"/>
        </w:rPr>
        <w:t xml:space="preserve">Nach unserer Prüfung [Einschätzung im Wortlaut des Fachbriefs, z. B. „haben wir Zweifel an …“, „ist die Erhöhung nur bis … begründet“]. Sicher ist das nicht: [was offen ist].</w:t>
      </w:r>
    </w:p>
    <w:p>
      <w:pPr>
        <w:keepNext/>
        <w:spacing w:before="0" w:after="60" w:line="259" w:lineRule="auto"/>
      </w:pPr>
      <w:r>
        <w:rPr>
          <w:b/>
          <w:sz w:val="22"/>
          <w:szCs w:val="22"/>
        </w:rPr>
        <w:t xml:space="preserve">3. Ihre Möglichkeiten und was dann passiert</w:t>
      </w:r>
    </w:p>
    <w:tbl>
      <w:tblPr>
        <w:tblW w:w="986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3600"/>
        <w:gridCol w:w="1700"/>
        <w:gridCol w:w="4560"/>
      </w:tblGrid>
      <w:tr>
        <w:trPr>
          <w:cantSplit/>
          <w:tblHeader/>
        </w:trPr>
        <w:tc>
          <w:tcPr>
            <w:tcW w:w="3600" w:type="dxa"/>
            <w:shd w:val="clear" w:color="auto" w:fill="DDE5EE"/>
          </w:tcPr>
          <w:p>
            <w:pPr>
              <w:spacing w:before="0" w:after="40" w:line="259" w:lineRule="auto"/>
            </w:pPr>
            <w:r>
              <w:rPr>
                <w:b/>
                <w:sz w:val="18"/>
                <w:szCs w:val="18"/>
              </w:rPr>
              <w:t xml:space="preserve">Möglichkeit</w:t>
            </w:r>
          </w:p>
        </w:tc>
        <w:tc>
          <w:tcPr>
            <w:tcW w:w="1700" w:type="dxa"/>
            <w:shd w:val="clear" w:color="auto" w:fill="DDE5EE"/>
          </w:tcPr>
          <w:p>
            <w:pPr>
              <w:spacing w:before="0" w:after="40" w:line="259" w:lineRule="auto"/>
            </w:pPr>
            <w:r>
              <w:rPr>
                <w:b/>
                <w:sz w:val="18"/>
                <w:szCs w:val="18"/>
              </w:rPr>
              <w:t xml:space="preserve">Kosten</w:t>
            </w:r>
          </w:p>
        </w:tc>
        <w:tc>
          <w:tcPr>
            <w:tcW w:w="4560" w:type="dxa"/>
            <w:shd w:val="clear" w:color="auto" w:fill="DDE5EE"/>
          </w:tcPr>
          <w:p>
            <w:pPr>
              <w:spacing w:before="0" w:after="40" w:line="259" w:lineRule="auto"/>
            </w:pPr>
            <w:r>
              <w:rPr>
                <w:b/>
                <w:sz w:val="18"/>
                <w:szCs w:val="18"/>
              </w:rPr>
              <w:t xml:space="preserve">Was dann passiert (wer gewinnt, wer zahlt)</w:t>
            </w:r>
          </w:p>
        </w:tc>
      </w:tr>
      <w:tr>
        <w:trPr>
          <w:cantSplit/>
        </w:trPr>
        <w:tc>
          <w:tcPr>
            <w:tcW w:w="3600" w:type="dxa"/>
          </w:tcPr>
          <w:p>
            <w:pPr>
              <w:spacing w:before="0" w:after="40" w:line="259" w:lineRule="auto"/>
            </w:pPr>
            <w:r>
              <w:rPr>
                <w:sz w:val="18"/>
                <w:szCs w:val="18"/>
              </w:rPr>
              <w:t xml:space="preserve">[Möglichkeit A, z. B. unsere Empfehlung]</w:t>
            </w:r>
          </w:p>
        </w:tc>
        <w:tc>
          <w:tcPr>
            <w:tcW w:w="1700" w:type="dxa"/>
            <w:shd w:val="clear" w:color="auto" w:fill="E7E7E7"/>
          </w:tcPr>
          <w:p>
            <w:pPr>
              <w:spacing w:before="0" w:after="40" w:line="259" w:lineRule="auto"/>
            </w:pPr>
            <w:r>
              <w:rPr>
                <w:sz w:val="18"/>
                <w:szCs w:val="18"/>
              </w:rPr>
              <w:t xml:space="preserve">[aus dem Fachbrief]</w:t>
            </w:r>
          </w:p>
        </w:tc>
        <w:tc>
          <w:tcPr>
            <w:tcW w:w="4560" w:type="dxa"/>
            <w:shd w:val="clear" w:color="auto" w:fill="E7E7E7"/>
          </w:tcPr>
          <w:p>
            <w:pPr>
              <w:spacing w:before="0" w:after="40" w:line="259" w:lineRule="auto"/>
            </w:pPr>
            <w:r>
              <w:rPr>
                <w:sz w:val="18"/>
                <w:szCs w:val="18"/>
              </w:rPr>
              <w:t xml:space="preserve">[Folge aus dem Fachbrief]</w:t>
            </w:r>
          </w:p>
        </w:tc>
      </w:tr>
      <w:tr>
        <w:trPr>
          <w:cantSplit/>
        </w:trPr>
        <w:tc>
          <w:tcPr>
            <w:tcW w:w="3600" w:type="dxa"/>
          </w:tcPr>
          <w:p>
            <w:pPr>
              <w:spacing w:before="0" w:after="40" w:line="259" w:lineRule="auto"/>
            </w:pPr>
            <w:r>
              <w:rPr>
                <w:sz w:val="18"/>
                <w:szCs w:val="18"/>
              </w:rPr>
              <w:t xml:space="preserve">[Möglichkeit B]</w:t>
            </w:r>
          </w:p>
        </w:tc>
        <w:tc>
          <w:tcPr>
            <w:tcW w:w="1700" w:type="dxa"/>
            <w:shd w:val="clear" w:color="auto" w:fill="E7E7E7"/>
          </w:tcPr>
          <w:p>
            <w:pPr>
              <w:spacing w:before="0" w:after="40" w:line="259" w:lineRule="auto"/>
            </w:pPr>
            <w:r>
              <w:rPr>
                <w:sz w:val="18"/>
                <w:szCs w:val="18"/>
              </w:rPr>
              <w:t xml:space="preserve">[aus dem Fachbrief]</w:t>
            </w:r>
          </w:p>
        </w:tc>
        <w:tc>
          <w:tcPr>
            <w:tcW w:w="4560" w:type="dxa"/>
            <w:shd w:val="clear" w:color="auto" w:fill="E7E7E7"/>
          </w:tcPr>
          <w:p>
            <w:pPr>
              <w:spacing w:before="0" w:after="40" w:line="259" w:lineRule="auto"/>
            </w:pPr>
            <w:r>
              <w:rPr>
                <w:sz w:val="18"/>
                <w:szCs w:val="18"/>
              </w:rPr>
              <w:t xml:space="preserve">[Folge, auch die unbequeme]</w:t>
            </w:r>
          </w:p>
        </w:tc>
      </w:tr>
      <w:tr>
        <w:trPr>
          <w:cantSplit/>
        </w:trPr>
        <w:tc>
          <w:tcPr>
            <w:tcW w:w="3600" w:type="dxa"/>
          </w:tcPr>
          <w:p>
            <w:pPr>
              <w:spacing w:before="0" w:after="40" w:line="259" w:lineRule="auto"/>
            </w:pPr>
            <w:r>
              <w:rPr>
                <w:sz w:val="18"/>
                <w:szCs w:val="18"/>
              </w:rPr>
              <w:t xml:space="preserve">[Nichts tun]</w:t>
            </w:r>
          </w:p>
        </w:tc>
        <w:tc>
          <w:tcPr>
            <w:tcW w:w="1700" w:type="dxa"/>
            <w:shd w:val="clear" w:color="auto" w:fill="E7E7E7"/>
          </w:tcPr>
          <w:p>
            <w:pPr>
              <w:spacing w:before="0" w:after="40" w:line="259" w:lineRule="auto"/>
            </w:pPr>
            <w:r>
              <w:rPr>
                <w:sz w:val="18"/>
                <w:szCs w:val="18"/>
              </w:rPr>
              <w:t xml:space="preserve">[aus dem Fachbrief]</w:t>
            </w:r>
          </w:p>
        </w:tc>
        <w:tc>
          <w:tcPr>
            <w:tcW w:w="4560" w:type="dxa"/>
            <w:shd w:val="clear" w:color="auto" w:fill="E7E7E7"/>
          </w:tcPr>
          <w:p>
            <w:pPr>
              <w:spacing w:before="0" w:after="40" w:line="259" w:lineRule="auto"/>
            </w:pPr>
            <w:r>
              <w:rPr>
                <w:sz w:val="18"/>
                <w:szCs w:val="18"/>
              </w:rPr>
              <w:t xml:space="preserve">[Folge aus dem Fachbrief]</w:t>
            </w:r>
          </w:p>
        </w:tc>
      </w:tr>
    </w:tbl>
    <w:p>
      <w:pPr>
        <w:spacing w:before="0" w:after="80" w:line="259" w:lineRule="auto"/>
      </w:pPr>
    </w:p>
    <w:p>
      <w:pPr>
        <w:keepNext/>
        <w:spacing w:before="0" w:after="60" w:line="259" w:lineRule="auto"/>
      </w:pPr>
      <w:r>
        <w:rPr>
          <w:b/>
          <w:sz w:val="22"/>
          <w:szCs w:val="22"/>
        </w:rPr>
        <w:t xml:space="preserve">4. Was wir von Ihnen brauchen</w:t>
      </w:r>
    </w:p>
    <w:p>
      <w:pPr>
        <w:spacing w:before="0" w:after="120" w:line="259" w:lineRule="auto"/>
      </w:pPr>
      <w:r>
        <w:rPr>
          <w:color w:val="404040"/>
          <w:sz w:val="21"/>
          <w:szCs w:val="21"/>
        </w:rPr>
        <w:t xml:space="preserve">[Entscheidung, Unterlagen, bis wann. Keine Zusagen der Kanzlei, die nicht im Fachbrief stehen.]</w:t>
      </w:r>
    </w:p>
    <w:p>
      <w:pPr>
        <w:spacing w:before="0" w:after="120" w:line="259" w:lineRule="auto"/>
      </w:pPr>
      <w:r>
        <w:rPr>
          <w:color w:val="404040"/>
          <w:sz w:val="21"/>
          <w:szCs w:val="21"/>
        </w:rPr>
        <w:t xml:space="preserve">[Wahlweise:] Dieser Brief erklärt unser Schreiben vom [Datum] in einfacher Sprache.</w:t>
      </w:r>
    </w:p>
    <w:p>
      <w:pPr>
        <w:spacing w:before="0" w:after="120" w:line="259" w:lineRule="auto"/>
      </w:pPr>
      <w:r>
        <w:rPr>
          <w:color w:val="404040"/>
          <w:sz w:val="21"/>
          <w:szCs w:val="21"/>
        </w:rPr>
        <w:t xml:space="preserve">Mit freundlichen Grüßen</w:t>
      </w:r>
    </w:p>
    <w:p>
      <w:pPr>
        <w:spacing w:before="0" w:after="120" w:line="259" w:lineRule="auto"/>
      </w:pPr>
      <w:r>
        <w:rPr>
          <w:color w:val="404040"/>
          <w:sz w:val="21"/>
          <w:szCs w:val="21"/>
        </w:rPr>
        <w:t xml:space="preserve">[Name], [Rechtsanwältin / Rechtsanwalt]</w:t>
      </w:r>
    </w:p>
    <w:p>
      <w:pPr>
        <w:spacing w:before="0" w:after="0" w:line="259" w:lineRule="auto"/>
      </w:pPr>
      <w:r>
        <w:rPr>
          <w:b/>
          <w:sz w:val="16"/>
          <w:szCs w:val="16"/>
        </w:rPr>
        <w:t xml:space="preserve">Schreibregeln: </w:t>
      </w:r>
      <w:r>
        <w:rPr>
          <w:sz w:val="16"/>
          <w:szCs w:val="16"/>
        </w:rPr>
        <w:t xml:space="preserve">Sätze möglichst bis 15 Wörter · Alltagswörter · Paragrafen nur in Klammern am Satzende · Einschätzungen bleiben Einschätzungen · keine Längengrenze, lieber vollständig.</w:t>
      </w:r>
    </w:p>
    <w:p>
      <w:r>
        <w:br w:type="page"/>
      </w:r>
    </w:p>
    <w:p>
      <w:pPr>
        <w:spacing w:before="0" w:after="60" w:line="259" w:lineRule="auto"/>
      </w:pPr>
      <w:r>
        <w:rPr>
          <w:b/>
          <w:sz w:val="28"/>
          <w:szCs w:val="28"/>
        </w:rPr>
        <w:t xml:space="preserve">Prüfliste: einfache Fassung gegen den Fachbrief</w:t>
      </w:r>
    </w:p>
    <w:p>
      <w:pPr>
        <w:spacing w:before="0" w:after="120" w:line="259" w:lineRule="auto"/>
      </w:pPr>
      <w:r>
        <w:rPr>
          <w:i/>
          <w:color w:val="555555"/>
          <w:sz w:val="17"/>
          <w:szCs w:val="17"/>
        </w:rPr>
        <w:t xml:space="preserve">Prüfen Sie die Punkte in dieser Reihenfolge, mit dem Fachbrief daneben. Die Fehlerarten stammen aus einem Versuch mit 54 Läufen (Erläuterung im Artikel).</w:t>
      </w:r>
    </w:p>
    <w:p>
      <w:pPr>
        <w:spacing w:before="0" w:after="160" w:line="259" w:lineRule="auto"/>
      </w:pPr>
      <w:r>
        <w:rPr>
          <w:sz w:val="18"/>
          <w:szCs w:val="18"/>
        </w:rPr>
        <w:t xml:space="preserve">Akte: ____________________   Fachbrief vom: ____________   Fassung erzeugt mit: ____________________   am: ____________</w:t>
      </w:r>
    </w:p>
    <w:tbl>
      <w:tblPr>
        <w:tblW w:w="986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450"/>
        <w:gridCol w:w="2700"/>
        <w:gridCol w:w="4300"/>
        <w:gridCol w:w="1700"/>
        <w:gridCol w:w="710"/>
      </w:tblGrid>
      <w:tr>
        <w:trPr>
          <w:cantSplit/>
          <w:tblHeader/>
        </w:trPr>
        <w:tc>
          <w:tcPr>
            <w:tcW w:w="450" w:type="dxa"/>
            <w:shd w:val="clear" w:color="auto" w:fill="DDE5EE"/>
          </w:tcPr>
          <w:p>
            <w:pPr>
              <w:spacing w:before="0" w:after="40" w:line="259" w:lineRule="auto"/>
            </w:pPr>
            <w:r>
              <w:rPr>
                <w:b/>
                <w:sz w:val="18"/>
                <w:szCs w:val="18"/>
              </w:rPr>
              <w:t xml:space="preserve">Nr.</w:t>
            </w:r>
          </w:p>
        </w:tc>
        <w:tc>
          <w:tcPr>
            <w:tcW w:w="2700" w:type="dxa"/>
            <w:shd w:val="clear" w:color="auto" w:fill="DDE5EE"/>
          </w:tcPr>
          <w:p>
            <w:pPr>
              <w:spacing w:before="0" w:after="40" w:line="259" w:lineRule="auto"/>
            </w:pPr>
            <w:r>
              <w:rPr>
                <w:b/>
                <w:sz w:val="18"/>
                <w:szCs w:val="18"/>
              </w:rPr>
              <w:t xml:space="preserve">Prüfpunkt</w:t>
            </w:r>
          </w:p>
        </w:tc>
        <w:tc>
          <w:tcPr>
            <w:tcW w:w="4300" w:type="dxa"/>
            <w:shd w:val="clear" w:color="auto" w:fill="DDE5EE"/>
          </w:tcPr>
          <w:p>
            <w:pPr>
              <w:spacing w:before="0" w:after="40" w:line="259" w:lineRule="auto"/>
            </w:pPr>
            <w:r>
              <w:rPr>
                <w:b/>
                <w:sz w:val="18"/>
                <w:szCs w:val="18"/>
              </w:rPr>
              <w:t xml:space="preserve">So prüfen</w:t>
            </w:r>
          </w:p>
        </w:tc>
        <w:tc>
          <w:tcPr>
            <w:tcW w:w="1700" w:type="dxa"/>
            <w:shd w:val="clear" w:color="auto" w:fill="DDE5EE"/>
          </w:tcPr>
          <w:p>
            <w:pPr>
              <w:spacing w:before="0" w:after="40" w:line="259" w:lineRule="auto"/>
            </w:pPr>
            <w:r>
              <w:rPr>
                <w:b/>
                <w:sz w:val="18"/>
                <w:szCs w:val="18"/>
              </w:rPr>
              <w:t xml:space="preserve">fängt ab</w:t>
            </w:r>
          </w:p>
        </w:tc>
        <w:tc>
          <w:tcPr>
            <w:tcW w:w="710" w:type="dxa"/>
            <w:shd w:val="clear" w:color="auto" w:fill="DDE5EE"/>
          </w:tcPr>
          <w:p>
            <w:pPr>
              <w:spacing w:before="0" w:after="40" w:line="259" w:lineRule="auto"/>
            </w:pPr>
            <w:r>
              <w:rPr>
                <w:b/>
                <w:sz w:val="18"/>
                <w:szCs w:val="18"/>
              </w:rPr>
              <w:t xml:space="preserve">erledigt</w:t>
            </w:r>
          </w:p>
        </w:tc>
      </w:tr>
      <w:tr>
        <w:trPr>
          <w:cantSplit/>
        </w:trPr>
        <w:tc>
          <w:tcPr>
            <w:tcW w:w="450" w:type="dxa"/>
          </w:tcPr>
          <w:p>
            <w:pPr>
              <w:spacing w:before="0" w:after="40" w:line="259" w:lineRule="auto"/>
            </w:pPr>
            <w:r>
              <w:rPr>
                <w:b/>
                <w:sz w:val="18"/>
                <w:szCs w:val="18"/>
              </w:rPr>
              <w:t xml:space="preserve">1</w:t>
            </w:r>
            <w:r>
              <w:rPr>
                <w:sz w:val="18"/>
                <w:szCs w:val="18"/>
              </w:rPr>
              <w:t xml:space="preserve"/>
            </w:r>
          </w:p>
        </w:tc>
        <w:tc>
          <w:tcPr>
            <w:tcW w:w="2700" w:type="dxa"/>
          </w:tcPr>
          <w:p>
            <w:pPr>
              <w:spacing w:before="0" w:after="40" w:line="259" w:lineRule="auto"/>
            </w:pPr>
            <w:r>
              <w:rPr>
                <w:b/>
                <w:sz w:val="18"/>
                <w:szCs w:val="18"/>
              </w:rPr>
              <w:t xml:space="preserve">Daten, Beträge, Fristen</w:t>
            </w:r>
            <w:r>
              <w:rPr>
                <w:sz w:val="18"/>
                <w:szCs w:val="18"/>
              </w:rPr>
              <w:t xml:space="preserve"/>
            </w:r>
          </w:p>
        </w:tc>
        <w:tc>
          <w:tcPr>
            <w:tcW w:w="4300" w:type="dxa"/>
          </w:tcPr>
          <w:p>
            <w:pPr>
              <w:spacing w:before="0" w:after="40" w:line="259" w:lineRule="auto"/>
            </w:pPr>
            <w:r>
              <w:rPr>
                <w:sz w:val="18"/>
                <w:szCs w:val="18"/>
              </w:rPr>
              <w:t xml:space="preserve">Jede Angabe im Fachbrief markieren und in der Fassung abhaken. Fehlt eine Frist, die der Mandant kennen muss?</w:t>
            </w:r>
          </w:p>
        </w:tc>
        <w:tc>
          <w:tcPr>
            <w:tcW w:w="1700" w:type="dxa"/>
          </w:tcPr>
          <w:p>
            <w:pPr>
              <w:spacing w:before="0" w:after="40" w:line="259" w:lineRule="auto"/>
            </w:pPr>
            <w:r>
              <w:rPr>
                <w:sz w:val="18"/>
                <w:szCs w:val="18"/>
              </w:rPr>
              <w:t xml:space="preserve">falsches Datum (im Versuch nie); Lücken bei Kürze</w:t>
            </w:r>
          </w:p>
        </w:tc>
        <w:tc>
          <w:tcPr>
            <w:tcW w:w="710" w:type="dxa"/>
          </w:tcPr>
          <w:p>
            <w:pPr>
              <w:spacing w:before="0" w:after="40" w:line="259" w:lineRule="auto"/>
            </w:pPr>
            <w:r>
              <w:rPr>
                <w:sz w:val="18"/>
                <w:szCs w:val="18"/>
              </w:rPr>
              <w:t xml:space="preserve">☐ 1.</w:t>
            </w:r>
          </w:p>
        </w:tc>
      </w:tr>
      <w:tr>
        <w:trPr>
          <w:cantSplit/>
        </w:trPr>
        <w:tc>
          <w:tcPr>
            <w:tcW w:w="450" w:type="dxa"/>
          </w:tcPr>
          <w:p>
            <w:pPr>
              <w:spacing w:before="0" w:after="40" w:line="259" w:lineRule="auto"/>
            </w:pPr>
            <w:r>
              <w:rPr>
                <w:b/>
                <w:sz w:val="18"/>
                <w:szCs w:val="18"/>
              </w:rPr>
              <w:t xml:space="preserve">2</w:t>
            </w:r>
            <w:r>
              <w:rPr>
                <w:sz w:val="18"/>
                <w:szCs w:val="18"/>
              </w:rPr>
              <w:t xml:space="preserve"/>
            </w:r>
          </w:p>
        </w:tc>
        <w:tc>
          <w:tcPr>
            <w:tcW w:w="2700" w:type="dxa"/>
          </w:tcPr>
          <w:p>
            <w:pPr>
              <w:spacing w:before="0" w:after="40" w:line="259" w:lineRule="auto"/>
            </w:pPr>
            <w:r>
              <w:rPr>
                <w:b/>
                <w:sz w:val="18"/>
                <w:szCs w:val="18"/>
              </w:rPr>
              <w:t xml:space="preserve">Wenn-dann-Sätze</w:t>
            </w:r>
            <w:r>
              <w:rPr>
                <w:sz w:val="18"/>
                <w:szCs w:val="18"/>
              </w:rPr>
              <w:t xml:space="preserve"/>
            </w:r>
          </w:p>
        </w:tc>
        <w:tc>
          <w:tcPr>
            <w:tcW w:w="4300" w:type="dxa"/>
          </w:tcPr>
          <w:p>
            <w:pPr>
              <w:spacing w:before="0" w:after="40" w:line="259" w:lineRule="auto"/>
            </w:pPr>
            <w:r>
              <w:rPr>
                <w:sz w:val="18"/>
                <w:szCs w:val="18"/>
              </w:rPr>
              <w:t xml:space="preserve">Jeden Satz mit wenn, sonst, nur, nicht, gewinnt, verliert, zahlt, trägt gegen den Fachbrief lesen: Wer gewinnt, wer zahlt, wer muss handeln? Stimmt die Richtung?</w:t>
            </w:r>
          </w:p>
        </w:tc>
        <w:tc>
          <w:tcPr>
            <w:tcW w:w="1700" w:type="dxa"/>
          </w:tcPr>
          <w:p>
            <w:pPr>
              <w:spacing w:before="0" w:after="40" w:line="259" w:lineRule="auto"/>
            </w:pPr>
            <w:r>
              <w:rPr>
                <w:sz w:val="18"/>
                <w:szCs w:val="18"/>
              </w:rPr>
              <w:t xml:space="preserve">Sinn verkehrt („Verliert die Vermieterin: Sie zahlen“)</w:t>
            </w:r>
          </w:p>
        </w:tc>
        <w:tc>
          <w:tcPr>
            <w:tcW w:w="710" w:type="dxa"/>
          </w:tcPr>
          <w:p>
            <w:pPr>
              <w:spacing w:before="0" w:after="40" w:line="259" w:lineRule="auto"/>
            </w:pPr>
            <w:r>
              <w:rPr>
                <w:sz w:val="18"/>
                <w:szCs w:val="18"/>
              </w:rPr>
              <w:t xml:space="preserve">☐ 2.</w:t>
            </w:r>
          </w:p>
        </w:tc>
      </w:tr>
      <w:tr>
        <w:trPr>
          <w:cantSplit/>
        </w:trPr>
        <w:tc>
          <w:tcPr>
            <w:tcW w:w="450" w:type="dxa"/>
          </w:tcPr>
          <w:p>
            <w:pPr>
              <w:spacing w:before="0" w:after="40" w:line="259" w:lineRule="auto"/>
            </w:pPr>
            <w:r>
              <w:rPr>
                <w:b/>
                <w:sz w:val="18"/>
                <w:szCs w:val="18"/>
              </w:rPr>
              <w:t xml:space="preserve">3</w:t>
            </w:r>
            <w:r>
              <w:rPr>
                <w:sz w:val="18"/>
                <w:szCs w:val="18"/>
              </w:rPr>
              <w:t xml:space="preserve"/>
            </w:r>
          </w:p>
        </w:tc>
        <w:tc>
          <w:tcPr>
            <w:tcW w:w="2700" w:type="dxa"/>
          </w:tcPr>
          <w:p>
            <w:pPr>
              <w:spacing w:before="0" w:after="40" w:line="259" w:lineRule="auto"/>
            </w:pPr>
            <w:r>
              <w:rPr>
                <w:b/>
                <w:sz w:val="18"/>
                <w:szCs w:val="18"/>
              </w:rPr>
              <w:t xml:space="preserve">Möglichkeiten und Folgen vollständig</w:t>
            </w:r>
            <w:r>
              <w:rPr>
                <w:sz w:val="18"/>
                <w:szCs w:val="18"/>
              </w:rPr>
              <w:t xml:space="preserve"/>
            </w:r>
          </w:p>
        </w:tc>
        <w:tc>
          <w:tcPr>
            <w:tcW w:w="4300" w:type="dxa"/>
          </w:tcPr>
          <w:p>
            <w:pPr>
              <w:spacing w:before="0" w:after="40" w:line="259" w:lineRule="auto"/>
            </w:pPr>
            <w:r>
              <w:rPr>
                <w:sz w:val="18"/>
                <w:szCs w:val="18"/>
              </w:rPr>
              <w:t xml:space="preserve">Möglichkeiten und Folgen im Fachbrief zählen, in der Fassung zählen. Gleich viele? Auch die unbequemen?</w:t>
            </w:r>
          </w:p>
        </w:tc>
        <w:tc>
          <w:tcPr>
            <w:tcW w:w="1700" w:type="dxa"/>
          </w:tcPr>
          <w:p>
            <w:pPr>
              <w:spacing w:before="0" w:after="40" w:line="259" w:lineRule="auto"/>
            </w:pPr>
            <w:r>
              <w:rPr>
                <w:sz w:val="18"/>
                <w:szCs w:val="18"/>
              </w:rPr>
              <w:t xml:space="preserve">Folge weggefallen („Mit einer Klage entfällt die Abfindung“)</w:t>
            </w:r>
          </w:p>
        </w:tc>
        <w:tc>
          <w:tcPr>
            <w:tcW w:w="710" w:type="dxa"/>
          </w:tcPr>
          <w:p>
            <w:pPr>
              <w:spacing w:before="0" w:after="40" w:line="259" w:lineRule="auto"/>
            </w:pPr>
            <w:r>
              <w:rPr>
                <w:sz w:val="18"/>
                <w:szCs w:val="18"/>
              </w:rPr>
              <w:t xml:space="preserve">☐ 3.</w:t>
            </w:r>
          </w:p>
        </w:tc>
      </w:tr>
      <w:tr>
        <w:trPr>
          <w:cantSplit/>
        </w:trPr>
        <w:tc>
          <w:tcPr>
            <w:tcW w:w="450" w:type="dxa"/>
          </w:tcPr>
          <w:p>
            <w:pPr>
              <w:spacing w:before="0" w:after="40" w:line="259" w:lineRule="auto"/>
            </w:pPr>
            <w:r>
              <w:rPr>
                <w:b/>
                <w:sz w:val="18"/>
                <w:szCs w:val="18"/>
              </w:rPr>
              <w:t xml:space="preserve">4</w:t>
            </w:r>
            <w:r>
              <w:rPr>
                <w:sz w:val="18"/>
                <w:szCs w:val="18"/>
              </w:rPr>
              <w:t xml:space="preserve"/>
            </w:r>
          </w:p>
        </w:tc>
        <w:tc>
          <w:tcPr>
            <w:tcW w:w="2700" w:type="dxa"/>
          </w:tcPr>
          <w:p>
            <w:pPr>
              <w:spacing w:before="0" w:after="40" w:line="259" w:lineRule="auto"/>
            </w:pPr>
            <w:r>
              <w:rPr>
                <w:b/>
                <w:sz w:val="18"/>
                <w:szCs w:val="18"/>
              </w:rPr>
              <w:t xml:space="preserve">Einschätzung bleibt Einschätzung</w:t>
            </w:r>
            <w:r>
              <w:rPr>
                <w:sz w:val="18"/>
                <w:szCs w:val="18"/>
              </w:rPr>
              <w:t xml:space="preserve"/>
            </w:r>
          </w:p>
        </w:tc>
        <w:tc>
          <w:tcPr>
            <w:tcW w:w="4300" w:type="dxa"/>
          </w:tcPr>
          <w:p>
            <w:pPr>
              <w:spacing w:before="0" w:after="40" w:line="259" w:lineRule="auto"/>
            </w:pPr>
            <w:r>
              <w:rPr>
                <w:sz w:val="18"/>
                <w:szCs w:val="18"/>
              </w:rPr>
              <w:t xml:space="preserve">Wörter wie „Zweifel“, „nach unserer Prüfung“, „nicht sicher“, „begründet“, „empfehlen“ suchen. Ist daraus eine Tatsache, eine Regel oder eine Weisung des Mandanten geworden?</w:t>
            </w:r>
          </w:p>
        </w:tc>
        <w:tc>
          <w:tcPr>
            <w:tcW w:w="1700" w:type="dxa"/>
          </w:tcPr>
          <w:p>
            <w:pPr>
              <w:spacing w:before="0" w:after="40" w:line="259" w:lineRule="auto"/>
            </w:pPr>
            <w:r>
              <w:rPr>
                <w:sz w:val="18"/>
                <w:szCs w:val="18"/>
              </w:rPr>
              <w:t xml:space="preserve">Überzeichnung („Wir sehen Fehler“); Bewertung als feste Regel</w:t>
            </w:r>
          </w:p>
        </w:tc>
        <w:tc>
          <w:tcPr>
            <w:tcW w:w="710" w:type="dxa"/>
          </w:tcPr>
          <w:p>
            <w:pPr>
              <w:spacing w:before="0" w:after="40" w:line="259" w:lineRule="auto"/>
            </w:pPr>
            <w:r>
              <w:rPr>
                <w:sz w:val="18"/>
                <w:szCs w:val="18"/>
              </w:rPr>
              <w:t xml:space="preserve">☐ 4.</w:t>
            </w:r>
          </w:p>
        </w:tc>
      </w:tr>
      <w:tr>
        <w:trPr>
          <w:cantSplit/>
        </w:trPr>
        <w:tc>
          <w:tcPr>
            <w:tcW w:w="450" w:type="dxa"/>
          </w:tcPr>
          <w:p>
            <w:pPr>
              <w:spacing w:before="0" w:after="40" w:line="259" w:lineRule="auto"/>
            </w:pPr>
            <w:r>
              <w:rPr>
                <w:b/>
                <w:sz w:val="18"/>
                <w:szCs w:val="18"/>
              </w:rPr>
              <w:t xml:space="preserve">5</w:t>
            </w:r>
            <w:r>
              <w:rPr>
                <w:sz w:val="18"/>
                <w:szCs w:val="18"/>
              </w:rPr>
              <w:t xml:space="preserve"/>
            </w:r>
          </w:p>
        </w:tc>
        <w:tc>
          <w:tcPr>
            <w:tcW w:w="2700" w:type="dxa"/>
          </w:tcPr>
          <w:p>
            <w:pPr>
              <w:spacing w:before="0" w:after="40" w:line="259" w:lineRule="auto"/>
            </w:pPr>
            <w:r>
              <w:rPr>
                <w:b/>
                <w:sz w:val="18"/>
                <w:szCs w:val="18"/>
              </w:rPr>
              <w:t xml:space="preserve">Nichts Neues</w:t>
            </w:r>
            <w:r>
              <w:rPr>
                <w:sz w:val="18"/>
                <w:szCs w:val="18"/>
              </w:rPr>
              <w:t xml:space="preserve"/>
            </w:r>
          </w:p>
        </w:tc>
        <w:tc>
          <w:tcPr>
            <w:tcW w:w="4300" w:type="dxa"/>
          </w:tcPr>
          <w:p>
            <w:pPr>
              <w:spacing w:before="0" w:after="40" w:line="259" w:lineRule="auto"/>
            </w:pPr>
            <w:r>
              <w:rPr>
                <w:sz w:val="18"/>
                <w:szCs w:val="18"/>
              </w:rPr>
              <w:t xml:space="preserve">Jeden Satz ohne Gegenstück im Fachbrief streichen oder bewusst behalten: Kosten, Zusagen („wir schicken“), Ratschläge, „ein Anruf genügt“, Erklärungen wie „brutto heißt …“.</w:t>
            </w:r>
          </w:p>
        </w:tc>
        <w:tc>
          <w:tcPr>
            <w:tcW w:w="1700" w:type="dxa"/>
          </w:tcPr>
          <w:p>
            <w:pPr>
              <w:spacing w:before="0" w:after="40" w:line="259" w:lineRule="auto"/>
            </w:pPr>
            <w:r>
              <w:rPr>
                <w:sz w:val="18"/>
                <w:szCs w:val="18"/>
              </w:rPr>
              <w:t xml:space="preserve">Zusätze; neue Kostenposition</w:t>
            </w:r>
          </w:p>
        </w:tc>
        <w:tc>
          <w:tcPr>
            <w:tcW w:w="710" w:type="dxa"/>
          </w:tcPr>
          <w:p>
            <w:pPr>
              <w:spacing w:before="0" w:after="40" w:line="259" w:lineRule="auto"/>
            </w:pPr>
            <w:r>
              <w:rPr>
                <w:sz w:val="18"/>
                <w:szCs w:val="18"/>
              </w:rPr>
              <w:t xml:space="preserve">☐ 5.</w:t>
            </w:r>
          </w:p>
        </w:tc>
      </w:tr>
      <w:tr>
        <w:trPr>
          <w:cantSplit/>
        </w:trPr>
        <w:tc>
          <w:tcPr>
            <w:tcW w:w="450" w:type="dxa"/>
          </w:tcPr>
          <w:p>
            <w:pPr>
              <w:spacing w:before="0" w:after="40" w:line="259" w:lineRule="auto"/>
            </w:pPr>
            <w:r>
              <w:rPr>
                <w:b/>
                <w:sz w:val="18"/>
                <w:szCs w:val="18"/>
              </w:rPr>
              <w:t xml:space="preserve">6</w:t>
            </w:r>
            <w:r>
              <w:rPr>
                <w:sz w:val="18"/>
                <w:szCs w:val="18"/>
              </w:rPr>
              <w:t xml:space="preserve"/>
            </w:r>
          </w:p>
        </w:tc>
        <w:tc>
          <w:tcPr>
            <w:tcW w:w="2700" w:type="dxa"/>
          </w:tcPr>
          <w:p>
            <w:pPr>
              <w:spacing w:before="0" w:after="40" w:line="259" w:lineRule="auto"/>
            </w:pPr>
            <w:r>
              <w:rPr>
                <w:b/>
                <w:sz w:val="18"/>
                <w:szCs w:val="18"/>
              </w:rPr>
              <w:t xml:space="preserve">Fachwörter richtig ersetzt</w:t>
            </w:r>
            <w:r>
              <w:rPr>
                <w:sz w:val="18"/>
                <w:szCs w:val="18"/>
              </w:rPr>
              <w:t xml:space="preserve"/>
            </w:r>
          </w:p>
        </w:tc>
        <w:tc>
          <w:tcPr>
            <w:tcW w:w="4300" w:type="dxa"/>
          </w:tcPr>
          <w:p>
            <w:pPr>
              <w:spacing w:before="0" w:after="40" w:line="259" w:lineRule="auto"/>
            </w:pPr>
            <w:r>
              <w:rPr>
                <w:sz w:val="18"/>
                <w:szCs w:val="18"/>
              </w:rPr>
              <w:t xml:space="preserve">Ersatzwörter prüfen: Verfahrenskosten oder Gerichtskosten? Zugang oder Zustellung? Auskunft an wen?</w:t>
            </w:r>
          </w:p>
        </w:tc>
        <w:tc>
          <w:tcPr>
            <w:tcW w:w="1700" w:type="dxa"/>
          </w:tcPr>
          <w:p>
            <w:pPr>
              <w:spacing w:before="0" w:after="40" w:line="259" w:lineRule="auto"/>
            </w:pPr>
            <w:r>
              <w:rPr>
                <w:sz w:val="18"/>
                <w:szCs w:val="18"/>
              </w:rPr>
              <w:t xml:space="preserve">kleine Ungenauigkeiten</w:t>
            </w:r>
          </w:p>
        </w:tc>
        <w:tc>
          <w:tcPr>
            <w:tcW w:w="710" w:type="dxa"/>
          </w:tcPr>
          <w:p>
            <w:pPr>
              <w:spacing w:before="0" w:after="40" w:line="259" w:lineRule="auto"/>
            </w:pPr>
            <w:r>
              <w:rPr>
                <w:sz w:val="18"/>
                <w:szCs w:val="18"/>
              </w:rPr>
              <w:t xml:space="preserve">☐ 6.</w:t>
            </w:r>
          </w:p>
        </w:tc>
      </w:tr>
      <w:tr>
        <w:trPr>
          <w:cantSplit/>
        </w:trPr>
        <w:tc>
          <w:tcPr>
            <w:tcW w:w="450" w:type="dxa"/>
          </w:tcPr>
          <w:p>
            <w:pPr>
              <w:spacing w:before="0" w:after="40" w:line="259" w:lineRule="auto"/>
            </w:pPr>
            <w:r>
              <w:rPr>
                <w:b/>
                <w:sz w:val="18"/>
                <w:szCs w:val="18"/>
              </w:rPr>
              <w:t xml:space="preserve">7</w:t>
            </w:r>
            <w:r>
              <w:rPr>
                <w:sz w:val="18"/>
                <w:szCs w:val="18"/>
              </w:rPr>
              <w:t xml:space="preserve"/>
            </w:r>
          </w:p>
        </w:tc>
        <w:tc>
          <w:tcPr>
            <w:tcW w:w="2700" w:type="dxa"/>
          </w:tcPr>
          <w:p>
            <w:pPr>
              <w:spacing w:before="0" w:after="40" w:line="259" w:lineRule="auto"/>
            </w:pPr>
            <w:r>
              <w:rPr>
                <w:b/>
                <w:sz w:val="18"/>
                <w:szCs w:val="18"/>
              </w:rPr>
              <w:t xml:space="preserve">Fristen-Box und Kosten von Hand</w:t>
            </w:r>
            <w:r>
              <w:rPr>
                <w:sz w:val="18"/>
                <w:szCs w:val="18"/>
              </w:rPr>
              <w:t xml:space="preserve"/>
            </w:r>
          </w:p>
        </w:tc>
        <w:tc>
          <w:tcPr>
            <w:tcW w:w="4300" w:type="dxa"/>
          </w:tcPr>
          <w:p>
            <w:pPr>
              <w:spacing w:before="0" w:after="40" w:line="259" w:lineRule="auto"/>
            </w:pPr>
            <w:r>
              <w:rPr>
                <w:sz w:val="18"/>
                <w:szCs w:val="18"/>
              </w:rPr>
              <w:t xml:space="preserve">Box „Das Wichtigste zuerst“ und Spalte Kosten mit dem Fachbrief vergleichen; sie stammen nie aus dem Werkzeug.</w:t>
            </w:r>
          </w:p>
        </w:tc>
        <w:tc>
          <w:tcPr>
            <w:tcW w:w="1700" w:type="dxa"/>
          </w:tcPr>
          <w:p>
            <w:pPr>
              <w:spacing w:before="0" w:after="40" w:line="259" w:lineRule="auto"/>
            </w:pPr>
            <w:r>
              <w:rPr>
                <w:sz w:val="18"/>
                <w:szCs w:val="18"/>
              </w:rPr>
              <w:t xml:space="preserve">Lücken, Zusätze</w:t>
            </w:r>
          </w:p>
        </w:tc>
        <w:tc>
          <w:tcPr>
            <w:tcW w:w="710" w:type="dxa"/>
          </w:tcPr>
          <w:p>
            <w:pPr>
              <w:spacing w:before="0" w:after="40" w:line="259" w:lineRule="auto"/>
            </w:pPr>
            <w:r>
              <w:rPr>
                <w:sz w:val="18"/>
                <w:szCs w:val="18"/>
              </w:rPr>
              <w:t xml:space="preserve">☐ 7.</w:t>
            </w:r>
          </w:p>
        </w:tc>
      </w:tr>
      <w:tr>
        <w:trPr>
          <w:cantSplit/>
        </w:trPr>
        <w:tc>
          <w:tcPr>
            <w:tcW w:w="450" w:type="dxa"/>
          </w:tcPr>
          <w:p>
            <w:pPr>
              <w:spacing w:before="0" w:after="40" w:line="259" w:lineRule="auto"/>
            </w:pPr>
            <w:r>
              <w:rPr>
                <w:b/>
                <w:sz w:val="18"/>
                <w:szCs w:val="18"/>
              </w:rPr>
              <w:t xml:space="preserve">8</w:t>
            </w:r>
            <w:r>
              <w:rPr>
                <w:sz w:val="18"/>
                <w:szCs w:val="18"/>
              </w:rPr>
              <w:t xml:space="preserve"/>
            </w:r>
          </w:p>
        </w:tc>
        <w:tc>
          <w:tcPr>
            <w:tcW w:w="2700" w:type="dxa"/>
          </w:tcPr>
          <w:p>
            <w:pPr>
              <w:spacing w:before="0" w:after="40" w:line="259" w:lineRule="auto"/>
            </w:pPr>
            <w:r>
              <w:rPr>
                <w:b/>
                <w:sz w:val="18"/>
                <w:szCs w:val="18"/>
              </w:rPr>
              <w:t xml:space="preserve">Kontrollliste des Werkzeugs</w:t>
            </w:r>
            <w:r>
              <w:rPr>
                <w:sz w:val="18"/>
                <w:szCs w:val="18"/>
              </w:rPr>
              <w:t xml:space="preserve"/>
            </w:r>
          </w:p>
        </w:tc>
        <w:tc>
          <w:tcPr>
            <w:tcW w:w="4300" w:type="dxa"/>
          </w:tcPr>
          <w:p>
            <w:pPr>
              <w:spacing w:before="0" w:after="40" w:line="259" w:lineRule="auto"/>
            </w:pPr>
            <w:r>
              <w:rPr>
                <w:sz w:val="18"/>
                <w:szCs w:val="18"/>
              </w:rPr>
              <w:t xml:space="preserve">Eine Kontrollliste des Werkzeugs zeigt, dass ein Punkt vorkommt, nicht, dass er richtig dasteht. Sie ersetzt keinen dieser Punkte.</w:t>
            </w:r>
          </w:p>
        </w:tc>
        <w:tc>
          <w:tcPr>
            <w:tcW w:w="1700" w:type="dxa"/>
          </w:tcPr>
          <w:p>
            <w:pPr>
              <w:spacing w:before="0" w:after="40" w:line="259" w:lineRule="auto"/>
            </w:pPr>
            <w:r>
              <w:rPr>
                <w:sz w:val="18"/>
                <w:szCs w:val="18"/>
              </w:rPr>
              <w:t xml:space="preserve">im Versuch: Liste vollständig, Satz verkehrt</w:t>
            </w:r>
          </w:p>
        </w:tc>
        <w:tc>
          <w:tcPr>
            <w:tcW w:w="710" w:type="dxa"/>
          </w:tcPr>
          <w:p>
            <w:pPr>
              <w:spacing w:before="0" w:after="40" w:line="259" w:lineRule="auto"/>
            </w:pPr>
            <w:r>
              <w:rPr>
                <w:sz w:val="18"/>
                <w:szCs w:val="18"/>
              </w:rPr>
              <w:t xml:space="preserve">☐ 8.</w:t>
            </w:r>
          </w:p>
        </w:tc>
      </w:tr>
    </w:tbl>
    <w:p>
      <w:pPr>
        <w:spacing w:before="0" w:after="80" w:line="259" w:lineRule="auto"/>
      </w:pPr>
    </w:p>
    <w:p>
      <w:pPr>
        <w:shd w:val="clear" w:color="auto" w:fill="F2F2F2"/>
        <w:spacing w:before="0" w:after="120" w:line="259" w:lineRule="auto"/>
      </w:pPr>
      <w:r>
        <w:rPr>
          <w:b/>
          <w:sz w:val="17"/>
          <w:szCs w:val="17"/>
        </w:rPr>
        <w:t xml:space="preserve">Beispiel zu Punkt 2 (aus dem Artikel): </w:t>
      </w:r>
      <w:r>
        <w:rPr>
          <w:i/>
          <w:color w:val="555555"/>
          <w:sz w:val="17"/>
          <w:szCs w:val="17"/>
        </w:rPr>
        <w:t xml:space="preserve">Fassung „Verliert die Vermieterin vor Gericht: Sie zahlen die erhöhte Miete rückwirkend …“, Fachbrief „Gibt das Gericht der Klage statt, schulden Sie …“: Richtung verkehrt. Berichtigt: „Gewinnt die Vermieterin vor Gericht, zahlen Sie …“. Eintrag unter „erledigt“: ☒ 2, ein Satz berichtigt (Abschnitt 3).</w:t>
      </w:r>
    </w:p>
    <w:p>
      <w:pPr>
        <w:spacing w:before="0" w:after="120" w:line="259" w:lineRule="auto"/>
      </w:pPr>
      <w:r>
        <w:rPr>
          <w:b/>
        </w:rPr>
        <w:t xml:space="preserve">Wer prüft: </w:t>
      </w:r>
      <w:r>
        <w:rPr/>
        <w:t xml:space="preserve">Punkt 1 und 7 kann eine geschulte Fachangestellte vorprüfen. Die Punkte 2 bis 5 prüft die Anwältin oder der Anwalt, der den Brief verantwortet. Eine Prüfung nur der Daten und Beträge hätte im Versuch keinen Sinnfehler und keine Überzeichnung gefunden.</w:t>
      </w:r>
    </w:p>
    <w:p>
      <w:pPr>
        <w:spacing w:before="0" w:after="80" w:line="259" w:lineRule="auto"/>
      </w:pPr>
      <w:r>
        <w:rPr>
          <w:b/>
        </w:rPr>
        <w:t xml:space="preserve">Freigabe: </w:t>
      </w:r>
      <w:r>
        <w:rPr/>
        <w:t xml:space="preserve">☐ freigegeben   ☐ zurück zur Überarbeitung   ☐ Fachbrief und einfache Fassung gehen zusammen hinaus</w:t>
      </w:r>
    </w:p>
    <w:p>
      <w:pPr>
        <w:spacing w:before="0" w:after="80" w:line="259" w:lineRule="auto"/>
      </w:pPr>
      <w:r>
        <w:rPr>
          <w:b/>
        </w:rPr>
        <w:t xml:space="preserve">Ablage: </w:t>
      </w:r>
      <w:r>
        <w:rPr/>
        <w:t xml:space="preserve">Fachbrief, einfache Fassung und diese abgehakte Prüfliste zur Akte. Die Prüfzeit gehört nicht auf diese Liste. Während einer Erprobung tragen Sie sie in eine eigene Liste ohne Aktenbezug ein und löschen diese nach der Entscheidung.</w:t>
      </w:r>
    </w:p>
    <w:p>
      <w:pPr>
        <w:spacing w:before="0" w:after="160" w:line="259" w:lineRule="auto"/>
      </w:pPr>
      <w:r>
        <w:rPr/>
        <w:t xml:space="preserve">Name: ______________________   Datum: ____________</w:t>
      </w:r>
    </w:p>
    <w:p>
      <w:pPr>
        <w:spacing w:before="0" w:after="0" w:line="259" w:lineRule="auto"/>
      </w:pPr>
      <w:r>
        <w:rPr>
          <w:i/>
          <w:color w:val="555555"/>
          <w:sz w:val="16"/>
          <w:szCs w:val="16"/>
        </w:rPr>
        <w:t xml:space="preserve">Diese Vorlage ist ein allgemeines Arbeitsmittel und keine Rechtsberatung im Einzelfall. Sie dürfen sie kostenlos verwenden und anpassen; es gelten die Nutzungsbedingungen für Vorlagen (https://ratg.de/nutzungsbedingungen/). Quelle bei Weitergabe: ratg.de</w:t>
      </w:r>
    </w:p>
    <w:p>
      <w:r>
        <w:br w:type="page"/>
      </w:r>
    </w:p>
    <w:p>
      <w:pPr>
        <w:spacing w:before="0" w:after="60" w:line="259" w:lineRule="auto"/>
      </w:pPr>
      <w:r>
        <w:rPr>
          <w:b/>
          <w:sz w:val="28"/>
          <w:szCs w:val="28"/>
        </w:rPr>
        <w:t xml:space="preserve">Anweisung an das Werkzeug</w:t>
      </w:r>
    </w:p>
    <w:p>
      <w:pPr>
        <w:spacing w:before="0" w:after="160" w:line="259" w:lineRule="auto"/>
      </w:pPr>
      <w:r>
        <w:rPr>
          <w:i/>
          <w:color w:val="555555"/>
          <w:sz w:val="17"/>
          <w:szCs w:val="17"/>
        </w:rPr>
        <w:t xml:space="preserve">Nur in einem Werkzeug verwenden, für das die Kanzlei einen Vertrag nach § 43e BRAO und einen Auftragsverarbeitungsvertrag (Art. 28 DSGVO) hat; nie in einem Verbrauchertarif. Nur den einen Brief einfügen, nie die Akte; Briefkopf, Anschrift und Aktenzeichen weglassen, Namen durch Platzhalter ersetzen. Regeln 1 bis 6 stammen aus dem Versuch (Einstellung mit Regeln); Regeln 7 und 8 sind aus den Befunden ergänzt und nicht erneut getestet.</w:t>
      </w:r>
    </w:p>
    <w:p>
      <w:pPr>
        <w:shd w:val="clear" w:color="auto" w:fill="F2F2F2"/>
        <w:spacing w:before="0" w:after="60" w:line="259" w:lineRule="auto"/>
      </w:pPr>
      <w:r>
        <w:rPr>
          <w:rFonts w:ascii="Consolas" w:hAnsi="Consolas" w:cs="Consolas"/>
          <w:sz w:val="19"/>
          <w:szCs w:val="19"/>
        </w:rPr>
        <w:t xml:space="preserve">Du bist Assistenz einer deutschen Anwaltskanzlei. Schreibe den folgenden Brief an unseren Mandanten in einfache Sprache um, damit er ihn gut versteht. Halte dich an diese Regeln:</w:t>
      </w:r>
    </w:p>
    <w:p>
      <w:pPr>
        <w:shd w:val="clear" w:color="auto" w:fill="F2F2F2"/>
        <w:spacing w:before="0" w:after="60" w:line="259" w:lineRule="auto"/>
      </w:pPr>
      <w:r>
        <w:rPr>
          <w:rFonts w:ascii="Consolas" w:hAnsi="Consolas" w:cs="Consolas"/>
          <w:sz w:val="19"/>
          <w:szCs w:val="19"/>
        </w:rPr>
        <w:t xml:space="preserve">1. Übernimm jedes Datum, jeden Betrag und jede Frist genau so, wie sie im Brief stehen.</w:t>
      </w:r>
    </w:p>
    <w:p>
      <w:pPr>
        <w:shd w:val="clear" w:color="auto" w:fill="F2F2F2"/>
        <w:spacing w:before="0" w:after="60" w:line="259" w:lineRule="auto"/>
      </w:pPr>
      <w:r>
        <w:rPr>
          <w:rFonts w:ascii="Consolas" w:hAnsi="Consolas" w:cs="Consolas"/>
          <w:sz w:val="19"/>
          <w:szCs w:val="19"/>
        </w:rPr>
        <w:t xml:space="preserve">2. Lass keine Folge weg, die eintritt, wenn der Mandant etwas nicht oder zu spät tut.</w:t>
      </w:r>
    </w:p>
    <w:p>
      <w:pPr>
        <w:shd w:val="clear" w:color="auto" w:fill="F2F2F2"/>
        <w:spacing w:before="0" w:after="60" w:line="259" w:lineRule="auto"/>
      </w:pPr>
      <w:r>
        <w:rPr>
          <w:rFonts w:ascii="Consolas" w:hAnsi="Consolas" w:cs="Consolas"/>
          <w:sz w:val="19"/>
          <w:szCs w:val="19"/>
        </w:rPr>
        <w:t xml:space="preserve">3. Füge keine Tatsachen, Zahlen oder Ratschläge hinzu, die nicht im Brief stehen.</w:t>
      </w:r>
    </w:p>
    <w:p>
      <w:pPr>
        <w:shd w:val="clear" w:color="auto" w:fill="F2F2F2"/>
        <w:spacing w:before="0" w:after="60" w:line="259" w:lineRule="auto"/>
      </w:pPr>
      <w:r>
        <w:rPr>
          <w:rFonts w:ascii="Consolas" w:hAnsi="Consolas" w:cs="Consolas"/>
          <w:sz w:val="19"/>
          <w:szCs w:val="19"/>
        </w:rPr>
        <w:t xml:space="preserve">4. Kurze Sätze (möglichst höchstens 15 Wörter), Alltagswörter; ein nötiges Fachwort beim ersten Mal kurz erklären. Paragrafen nur in Klammern am Satzende.</w:t>
      </w:r>
    </w:p>
    <w:p>
      <w:pPr>
        <w:shd w:val="clear" w:color="auto" w:fill="F2F2F2"/>
        <w:spacing w:before="0" w:after="60" w:line="259" w:lineRule="auto"/>
      </w:pPr>
      <w:r>
        <w:rPr>
          <w:rFonts w:ascii="Consolas" w:hAnsi="Consolas" w:cs="Consolas"/>
          <w:sz w:val="19"/>
          <w:szCs w:val="19"/>
        </w:rPr>
        <w:t xml:space="preserve">5. Beginne mit dem Wichtigsten: Was muss der Mandant bis wann tun?</w:t>
      </w:r>
    </w:p>
    <w:p>
      <w:pPr>
        <w:shd w:val="clear" w:color="auto" w:fill="F2F2F2"/>
        <w:spacing w:before="0" w:after="60" w:line="259" w:lineRule="auto"/>
      </w:pPr>
      <w:r>
        <w:rPr>
          <w:rFonts w:ascii="Consolas" w:hAnsi="Consolas" w:cs="Consolas"/>
          <w:sz w:val="19"/>
          <w:szCs w:val="19"/>
        </w:rPr>
        <w:t xml:space="preserve">6. Schreibe unter den Brief eine Kontrollliste für die Anwältin: alle Daten, Beträge, Fristen und Folgen aus dem Original, je mit der Stelle im neuen Brief.</w:t>
      </w:r>
    </w:p>
    <w:p>
      <w:pPr>
        <w:shd w:val="clear" w:color="auto" w:fill="F2F2F2"/>
        <w:spacing w:before="0" w:after="60" w:line="259" w:lineRule="auto"/>
      </w:pPr>
      <w:r>
        <w:rPr>
          <w:rFonts w:ascii="Consolas" w:hAnsi="Consolas" w:cs="Consolas"/>
          <w:sz w:val="19"/>
          <w:szCs w:val="19"/>
        </w:rPr>
        <w:t xml:space="preserve">7. Einschätzungen bleiben Einschätzungen: Schreibe „Wir haben Zweifel“ oder „nach unserer Prüfung“, wenn der Brief das so sagt, und mache daraus keine feste Regel.</w:t>
      </w:r>
    </w:p>
    <w:p>
      <w:pPr>
        <w:shd w:val="clear" w:color="auto" w:fill="F2F2F2"/>
        <w:spacing w:before="0" w:after="60" w:line="259" w:lineRule="auto"/>
      </w:pPr>
      <w:r>
        <w:rPr>
          <w:rFonts w:ascii="Consolas" w:hAnsi="Consolas" w:cs="Consolas"/>
          <w:sz w:val="19"/>
          <w:szCs w:val="19"/>
        </w:rPr>
        <w:t xml:space="preserve">8. Es gibt keine Längengrenze. Lieber vollständig als kurz.</w:t>
      </w:r>
    </w:p>
    <w:p>
      <w:pPr>
        <w:shd w:val="clear" w:color="auto" w:fill="F2F2F2"/>
        <w:spacing w:before="0" w:after="60" w:line="259" w:lineRule="auto"/>
      </w:pPr>
      <w:r>
        <w:rPr>
          <w:rFonts w:ascii="Consolas" w:hAnsi="Consolas" w:cs="Consolas"/>
          <w:sz w:val="19"/>
          <w:szCs w:val="19"/>
        </w:rPr>
        <w:t xml:space="preserve">---BRIEF---</w:t>
      </w:r>
    </w:p>
    <w:p>
      <w:pPr>
        <w:shd w:val="clear" w:color="auto" w:fill="F2F2F2"/>
        <w:spacing w:before="0" w:after="60" w:line="259" w:lineRule="auto"/>
      </w:pPr>
      <w:r>
        <w:rPr>
          <w:rFonts w:ascii="Consolas" w:hAnsi="Consolas" w:cs="Consolas"/>
          <w:sz w:val="19"/>
          <w:szCs w:val="19"/>
        </w:rPr>
        <w:t xml:space="preserve">[hier den Fachbrief einfügen, ohne Briefkopf, Anschrift und Aktenzeichen; Namen als Platzhalter, z. B. [Mandantin], [Vermieterin]]</w:t>
      </w:r>
    </w:p>
    <w:p>
      <w:pPr>
        <w:shd w:val="clear" w:color="auto" w:fill="F2F2F2"/>
        <w:spacing w:before="0" w:after="60" w:line="259" w:lineRule="auto"/>
      </w:pPr>
      <w:r>
        <w:rPr>
          <w:rFonts w:ascii="Consolas" w:hAnsi="Consolas" w:cs="Consolas"/>
          <w:sz w:val="19"/>
          <w:szCs w:val="19"/>
        </w:rPr>
        <w:t xml:space="preserve">---ENDE---</w:t>
      </w:r>
    </w:p>
    <w:p>
      <w:pPr>
        <w:spacing w:before="0" w:after="120" w:line="259" w:lineRule="auto"/>
      </w:pPr>
    </w:p>
    <w:p>
      <w:pPr>
        <w:spacing w:before="0" w:after="120" w:line="259" w:lineRule="auto"/>
      </w:pPr>
      <w:r>
        <w:rPr>
          <w:b/>
        </w:rPr>
        <w:t xml:space="preserve">Nicht verwenden: </w:t>
      </w:r>
      <w:r>
        <w:rPr/>
        <w:t xml:space="preserve">„so kurz wie möglich“ oder eine Wortgrenze. Im Versuch entstanden sieben von zehn entscheidungsrelevanten Fehlern bei „höchstens 150 Wörter“.</w:t>
      </w:r>
    </w:p>
    <w:p>
      <w:pPr>
        <w:spacing w:before="0" w:after="0" w:line="259" w:lineRule="auto"/>
      </w:pPr>
      <w:r>
        <w:rPr>
          <w:b/>
        </w:rPr>
        <w:t xml:space="preserve">Danach: </w:t>
      </w:r>
      <w:r>
        <w:rPr/>
        <w:t xml:space="preserve">Fassung in die Briefvorlage (Seite 1) setzen, Fristen-Box und Kosten von Hand füllen, Prüfliste (Seite 2) abarbeiten.</w:t>
      </w:r>
    </w:p>
    <w:sectPr>
      <w:pgSz w:w="11906" w:h="16838"/>
      <w:pgMar w:top="1021" w:right="1021" w:bottom="1021" w:left="1021" w:header="567" w:footer="567" w:gutter="0"/>
    </w:sectPr>
  </w:body>
</w:document>
</file>

<file path=word/styles.xml><?xml version="1.0" encoding="utf-8"?>
<w:styles xmlns:w="http://schemas.openxmlformats.org/wordprocessingml/2006/main" xmlns:r="http://schemas.openxmlformats.org/officeDocument/2006/relationships">
  <w:docDefaults>
    <w:rPrDefault>
      <w:rPr>
        <w:rFonts w:ascii="Calibri" w:hAnsi="Calibri" w:cs="Calibri" w:eastAsia="Calibri"/>
        <w:sz w:val="21"/>
        <w:szCs w:val="21"/>
        <w:lang w:val="de-DE"/>
      </w:rPr>
    </w:rPrDefault>
    <w:pPrDefault>
      <w:pPr>
        <w:spacing w:after="120"/>
      </w:pPr>
    </w:p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Mandantenbrief in einfacher Sprache: Briefvorlage und Prüfliste</dc:title>
  <dc:creator>ratg.de</dc:creator>
  <cp:lastModifiedBy>ratg.de</cp:lastModifiedBy>
  <dc:language>de-DE</dc:language>
</cp:coreProperties>
</file>